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jc w:val="both"/>
        <w:spacing w:after="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bookmarkStart w:id="0" w:name="_GoBack"/>
      <w:r>
        <w:rPr>
          <w:sz w:val="26"/>
          <w:szCs w:val="26"/>
          <w:highlight w:val="white"/>
        </w:rPr>
      </w:r>
      <w:bookmarkEnd w:id="0"/>
      <w:r>
        <w:rPr>
          <w:rFonts w:ascii="PT Astra Serif" w:hAnsi="PT Astra Serif"/>
          <w:sz w:val="26"/>
          <w:szCs w:val="26"/>
          <w:highlight w:val="white"/>
        </w:rPr>
        <w:t xml:space="preserve">Приложение № 4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left="5103"/>
        <w:jc w:val="both"/>
        <w:spacing w:after="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к Прогнозу социально-экономического </w:t>
      </w:r>
      <w:r>
        <w:rPr>
          <w:rFonts w:ascii="PT Astra Serif" w:hAnsi="PT Astra Serif"/>
          <w:sz w:val="26"/>
          <w:szCs w:val="26"/>
          <w:highlight w:val="white"/>
        </w:rPr>
        <w:t xml:space="preserve">развития Томской области на 2027</w:t>
      </w:r>
      <w:r>
        <w:rPr>
          <w:rFonts w:ascii="PT Astra Serif" w:hAnsi="PT Astra Serif"/>
          <w:sz w:val="26"/>
          <w:szCs w:val="26"/>
          <w:highlight w:val="white"/>
        </w:rPr>
        <w:t xml:space="preserve"> год </w:t>
      </w:r>
      <w:r>
        <w:rPr>
          <w:rFonts w:ascii="PT Astra Serif" w:hAnsi="PT Astra Serif"/>
          <w:sz w:val="26"/>
          <w:szCs w:val="26"/>
          <w:highlight w:val="white"/>
        </w:rPr>
        <w:t xml:space="preserve">и на плановый период 2028 – 2029</w:t>
      </w:r>
      <w:r>
        <w:rPr>
          <w:rFonts w:ascii="PT Astra Serif" w:hAnsi="PT Astra Serif"/>
          <w:sz w:val="26"/>
          <w:szCs w:val="26"/>
          <w:highlight w:val="white"/>
        </w:rPr>
        <w:t xml:space="preserve"> годов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left="5954"/>
        <w:jc w:val="center"/>
        <w:spacing w:after="0" w:line="240" w:lineRule="auto"/>
        <w:rPr>
          <w:rFonts w:ascii="PT Astra Serif" w:hAnsi="PT Astra Serif" w:eastAsia="Times New Roman"/>
          <w:sz w:val="26"/>
          <w:szCs w:val="26"/>
          <w:highlight w:val="white"/>
        </w:rPr>
      </w:pPr>
      <w:r>
        <w:rPr>
          <w:rFonts w:ascii="PT Astra Serif" w:hAnsi="PT Astra Serif" w:eastAsia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/>
          <w:sz w:val="26"/>
          <w:szCs w:val="26"/>
          <w:highlight w:val="white"/>
        </w:rPr>
      </w:r>
      <w:r>
        <w:rPr>
          <w:rFonts w:ascii="PT Astra Serif" w:hAnsi="PT Astra Serif" w:eastAsia="Times New Roman"/>
          <w:sz w:val="26"/>
          <w:szCs w:val="26"/>
          <w:highlight w:val="white"/>
        </w:rPr>
      </w:r>
    </w:p>
    <w:p>
      <w:pPr>
        <w:jc w:val="center"/>
        <w:spacing w:after="0" w:line="240" w:lineRule="auto"/>
        <w:rPr>
          <w:rFonts w:ascii="PT Astra Serif" w:hAnsi="PT Astra Serif" w:eastAsia="Times New Roman"/>
          <w:highlight w:val="white"/>
        </w:rPr>
      </w:pPr>
      <w:r>
        <w:rPr>
          <w:rFonts w:ascii="PT Astra Serif" w:hAnsi="PT Astra Serif" w:eastAsia="Times New Roman"/>
          <w:highlight w:val="white"/>
          <w:lang w:eastAsia="ru-RU"/>
        </w:rPr>
        <w:t xml:space="preserve">Информация </w:t>
      </w:r>
      <w:r>
        <w:rPr>
          <w:rFonts w:ascii="PT Astra Serif" w:hAnsi="PT Astra Serif" w:eastAsia="Times New Roman"/>
          <w:highlight w:val="white"/>
          <w:lang w:eastAsia="ru-RU"/>
        </w:rPr>
        <w:br/>
        <w:t xml:space="preserve">о реализации национальных проектов на территории Томской области</w:t>
      </w:r>
      <w:r>
        <w:rPr>
          <w:rFonts w:ascii="PT Astra Serif" w:hAnsi="PT Astra Serif" w:eastAsia="Times New Roman"/>
          <w:highlight w:val="white"/>
        </w:rPr>
      </w:r>
      <w:r>
        <w:rPr>
          <w:rFonts w:ascii="PT Astra Serif" w:hAnsi="PT Astra Serif" w:eastAsia="Times New Roman"/>
          <w:highlight w:val="white"/>
        </w:rPr>
      </w:r>
    </w:p>
    <w:p>
      <w:pPr>
        <w:jc w:val="center"/>
        <w:spacing w:after="0" w:line="240" w:lineRule="auto"/>
        <w:rPr>
          <w:rFonts w:ascii="PT Astra Serif" w:hAnsi="PT Astra Serif" w:eastAsia="Times New Roman"/>
          <w:highlight w:val="white"/>
        </w:rPr>
      </w:pPr>
      <w:r>
        <w:rPr>
          <w:rFonts w:ascii="PT Astra Serif" w:hAnsi="PT Astra Serif" w:eastAsia="Times New Roman"/>
          <w:highlight w:val="white"/>
          <w:lang w:eastAsia="ru-RU"/>
        </w:rPr>
      </w:r>
      <w:r>
        <w:rPr>
          <w:rFonts w:ascii="PT Astra Serif" w:hAnsi="PT Astra Serif" w:eastAsia="Times New Roman"/>
          <w:highlight w:val="white"/>
        </w:rPr>
      </w:r>
      <w:r>
        <w:rPr>
          <w:rFonts w:ascii="PT Astra Serif" w:hAnsi="PT Astra Serif" w:eastAsia="Times New Roman"/>
          <w:highlight w:val="white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eastAsia="PT Astra Serif" w:cs="PT Astra Serif"/>
          <w:b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Кадры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eastAsia="PT Astra Serif" w:cs="PT Astra Serif"/>
          <w:b/>
          <w:sz w:val="24"/>
          <w:szCs w:val="24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Управление рынком труда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итогам 202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numPr>
          <w:ilvl w:val="0"/>
          <w:numId w:val="51"/>
        </w:numPr>
        <w:ind w:left="0" w:firstLine="709"/>
        <w:jc w:val="both"/>
        <w:spacing w:after="0" w:line="240" w:lineRule="auto"/>
        <w:tabs>
          <w:tab w:val="left" w:pos="0" w:leader="none"/>
          <w:tab w:val="left" w:pos="284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Выполнен текущий ремонт в 15 территориальных отделах ОГКУ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«ЦЗН» Зырянского,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Кривошеинского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Кожевниковского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Молчановского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, Первомайского,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Шегарского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, Александровского,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Каргасокского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Парабельского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Верхнекетского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Чаинского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Бакчарского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 районов  и г. Колпашево, г. Стрежевого, 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 ЗАТО г. С</w:t>
      </w:r>
      <w:r>
        <w:rPr>
          <w:rFonts w:ascii="PT Astra Serif" w:hAnsi="PT Astra Serif" w:eastAsia="PT Astra Serif" w:cs="PT Astra Serif"/>
          <w:i w:val="0"/>
          <w:iCs w:val="0"/>
          <w:sz w:val="26"/>
          <w:szCs w:val="26"/>
        </w:rPr>
        <w:t xml:space="preserve">еверск (на 2 и 3 эт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ажах здания);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1"/>
        </w:numPr>
        <w:ind w:left="0" w:firstLine="709"/>
        <w:jc w:val="both"/>
        <w:spacing w:after="0" w:line="240" w:lineRule="auto"/>
        <w:tabs>
          <w:tab w:val="left" w:pos="0" w:leader="none"/>
          <w:tab w:val="left" w:pos="284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Установлена и введена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 эксплуатацию модульная конструкция </w:t>
        <w:br/>
        <w:t xml:space="preserve">для размещения территориального отдела ОГКУ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«ЦЗН»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Тегульдетском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районе;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ab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роведено полное оснащение 25 отдел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ОГКУ «ЦЗН» Томской области (поставлены ноутбуки, принтеры, многофункциональные устройства, компьютеры, моноблоки, системы ВКС, маршрутизаторы, мебель 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фисная, бытовая техника </w:t>
        <w:br/>
        <w:t xml:space="preserve">и др.).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Образование для рынка труда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237 человек прошли профессиональное обучение и дополнительное профессиональное образование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среди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работников и безработных граждан, заключивших ученический договор с предприятиями (организациями) оборонно-промышленного комплекса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(план  – 167 человек).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Человек труда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роведен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федеральный этап Всероссийского конкурса профессионального мастерства «Лучший по профессии» в номинации «Специалист по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мехатронике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робототехнике». Конкурс направлен на популяризацию рабочих профессий.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Продолжительная и активная жизнь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Совершенствование экстренной медицинской помощи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Эвакуировано 632 пациента с использованием санитарной авиации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(план – 462 человека);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Доля лиц, госпитализированных по экстренным показаниям в течение первых суток, от общего числа больных, к которым совершены вылеты, состави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100%.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Борьба </w:t>
        <w:br/>
        <w:t xml:space="preserve">с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сердечно-сосудистыми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заболеваниями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Обеспечен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профилактик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прогрессирования ишемической болезни сердца и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развития ее осложнений у 5 538 пациентов, находящихся под диспансерным наб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людением (план – 1 380 человек);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Обеспечена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профилактик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развития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сердечно-сосудистых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заболеваний и сердечно-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сосудистых осложнений у 8 778 пациентов высокого риска, находящихся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 диспансерном наблюдении (план – 4 300 человек).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Борьба </w:t>
        <w:br/>
        <w:t xml:space="preserve">с гепатитом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минимизация рисков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распространения данного заболевания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Обеспечена потребность в лекарственных препаратах 121 пациента с хроническим вирусным гепатитом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получающего лечение в амбулаторных условиях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(план – 121 человек);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Обеспечены 157 пациентов с хроническим вирусным гепатитом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  <w:br/>
        <w:t xml:space="preserve">в условиях дневного стационара полным курсом противовирусной терапии в рамках обязательного медицинского страхования (план – 234 человека)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Достигнут устойчивый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вирусологическ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ответ у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195 пациентов с хроническим вирусным гепатитом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завершивших курс противовирусной терапии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(план – 330 человек);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60 118 гражданам в возрасте 25 лет и старше один раз в 10 лет проведены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скрининговые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исследования на антитела гепатиту C.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Борьба </w:t>
        <w:br/>
        <w:t xml:space="preserve">с сахарным диабетом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5 542 больных сахарным диабетом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беспечен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прохождением школ для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пациентов с сахарным диабетом, как обязательного метода диспансерного наблюдения и лечения больных сахарным диабетом, в соответствии </w:t>
        <w:br/>
        <w:t xml:space="preserve">с клиническими рекомендациями (план – 4 661 человек)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350 детей с сахарным диабетом 1 типа в возрасте от 2 до 17 лет включительно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беспечены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системами непрерывного мониторинга глюкозы, в том числе российского производства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(план – 340 человек);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381 беременная женщина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 сахарным диабетом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беспечена системами непрерывного мониторинга глюкозы, в том числе российского производства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ff0000"/>
          <w:sz w:val="26"/>
          <w:szCs w:val="26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Модернизация первичного звена здравоохранения Российской Федерации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Завершен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капительный ремонт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-х медицинских организаций: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ОГБУЗ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Тегульдетская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районная больница», ОГАУЗ «Городская клиническая больница </w:t>
        <w:br/>
        <w:t xml:space="preserve">№ 3 им. Б.И. Альперовича» ОГАУЗ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Колпашевская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районная больница»;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Ведутся работы по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капитальн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ому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ремонт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на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-х объектах: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ОГАУЗ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Стрежевская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городская больница»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(техническая готовность – 12%),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ОГАУЗ «Томская районная больница»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(техническая готовность – 21%), </w:t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ОГБУЗ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Каргасокская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районная больница»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(техническая готовность – 86%);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18.12.2025 получено разрешение на ввод в эксплуатацию поликлиники на 400 посеще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ний в смену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мкр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Южные ворота;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Начато строительство поликлиники мо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щностью 350 посещений в смену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детским отделением на 120 посещений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мкр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Восточны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техническая готовность – 53%;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Приобретены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единиц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быстровозводимых модульных конструкций: врачебн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ая амбулатория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 с. Турунтаево 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фельдшерско-акушерского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пункт </w:t>
        <w:br/>
        <w:t xml:space="preserve">в 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Мирный. Объекты лицензированы;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6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ля ОГАУЗ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Шегарская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районная больница»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приобретена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система ультразвуковой визуализации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7. 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ля ОГАУЗ «Поликлиника № 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приобретен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рентгеновский диагностический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комплекс;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8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Приобретен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автомобильный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транспорт в количе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стве 27 единиц </w:t>
        <w:br/>
        <w:t xml:space="preserve">для оснащения 14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медицинских организаций.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Оптимальная </w:t>
        <w:br/>
        <w:t xml:space="preserve">для восстановления здоровья медицинская реабилитация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ОГАУЗ «Томская областная клиническая больница»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оснащено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43 единиц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ами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медицинского оборудования и издели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ями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Здоровье для каждого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ц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ентр здоровья (ОГАУЗ «Межвузовская поликлиника»)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снащен </w:t>
        <w:br/>
        <w:t xml:space="preserve">22 единицами оборудования для выявления и коррекции факторов риска развития хронических неинфекционных заболеваний.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Медицинские кадры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Обучен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81 человек по программам среднего профессионального образования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договорам, предусматривающим обязательство по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трудоустройству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(план – 40 человек);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бучен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программам повышения квалификации 346 медицинских работников, оказывающих и обеспечивающих оказание скорой медицинской помощи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(план – 190 человек);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Прошли повышение квалификации 1 281 медицински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работник, участвующи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оказании медицинской помощ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пациентам с сахарным диабетом;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Трудоустроен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258 ординаторов второго года врачами-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стажерами (план – 250 человек).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Борьба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 онкологическими заболеваниями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Утверждена региональная программа «Борьба с онкологическими заболеваниями» (распоряжение Администрации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омской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области от 15.10.2025 № 710-ра);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Организована маршрутизаци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пациентов с онкологическ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ими заболеваниями на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основании порядка оказания медицинской помощи с учетом клинических рекомендаций и обеспечения территориальной доступности медицинской помощи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(утв. распоряжение Департамента здравоохранения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Томской области от 28.10.2025 №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1136)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Молодежь и дети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Все лучшее детям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  <w:highlight w:val="yellow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Начато строительство школы на 1 100 мест в г. Томске по ул. </w:t>
        <w:br/>
        <w:t xml:space="preserve">А. Крячкова,3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ехническая готовность объекта – 13%. Дата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окончания ис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полнения контракта - 11.03.2027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highlight w:val="yellow"/>
        </w:rPr>
      </w:r>
      <w:r>
        <w:rPr>
          <w:rFonts w:ascii="PT Astra Serif" w:hAnsi="PT Astra Serif" w:cs="PT Astra Serif"/>
          <w:sz w:val="24"/>
          <w:szCs w:val="24"/>
          <w:highlight w:val="yellow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В 165 школах оснащены предметные кабинеты для реализации образовательных программ по учебным предметам «Основ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ы безопасности </w:t>
        <w:br/>
        <w:t xml:space="preserve">и защиты Родины»;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ff0000"/>
          <w:sz w:val="26"/>
          <w:szCs w:val="26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Завершены работы по капитальному ремонту 37 зданий образовательных организаций (план – 34 объекта) в рамках модерниза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ции школьных систем образования;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9"/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en-US"/>
        </w:rPr>
        <w:t xml:space="preserve">4. 35 образовательных организаций оснащены современными средствами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en-US"/>
        </w:rPr>
        <w:t xml:space="preserve">обучения и воспитания;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5. 306 работников образования прошли повышение квалификации школьных команд общеобразовательных организаций, в которых ос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уществляется капитальный ремонт;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6.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29 отремонтированных общеобразовательных организаций (план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35 объектов)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обеспече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антитеррористической защитой.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Педагоги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наставники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280 советников директоров получили выплаты ежемесячного денежного вознаграждения.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242 образовательных организациях реализованы мероприятия </w:t>
        <w:br/>
        <w:t xml:space="preserve">по обеспечению деятельности советников директоров.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6 194 выплаты ежемесячного денежного вознаграждения за классное руководство предоставлены педагогическим работникам образовательных организаций.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880 выплат ежемесячного денежного вознаграждения за классное руководство (кураторство) педагогическим работникам среднего профессионального образования.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ff0000"/>
          <w:sz w:val="26"/>
          <w:szCs w:val="26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5. 7 педагогов получили единовременную компенсационную выплату </w:t>
        <w:br/>
        <w:t xml:space="preserve">в рамках программы «Земский учитель»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ff0000"/>
          <w:sz w:val="26"/>
          <w:szCs w:val="26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Профессионалитет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95,33% (план – 85%) выпускников прошли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обучение 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 программам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Профессионалитет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66,37% (план – 43%) обучающихся 6 – 11-х классов, примут участие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профориентационных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мероприятиях в рамк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ах Единой модели профориентации;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3. 48,5%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(план – 30%)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обучающихся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программам среднего профессионального образования пройдут демонстрацио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нный экзамен профильного уровня;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4. 623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профориентационных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мероприятия (в том числе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профориентационные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диагностики) (план – 40 единиц) проведены среди обучающихся 6-11 классов </w:t>
        <w:br/>
        <w:t xml:space="preserve">с учетом опыта реализации проекта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Билет в будущее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Россия – страна возможностей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Завершен капитальный ремонт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-х молодежных центров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Дом молодежи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г. Томск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(ул. Р. Люксембург, 8)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ПроСтранство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 г. Стрежевом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(ул. Строителей, 60, пом. 1)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«Гравитация»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г. Колпашево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(ул. Кирова, 43)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«Наше время»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Верхнекетском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р.п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Белый Яр, ул. Чапаева, 7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36 областных мероприятий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(форумы, фестивали, сл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ёты);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ff0000"/>
          <w:sz w:val="26"/>
          <w:szCs w:val="26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Организовано 9 образовательных заездов молодых деятелей культуры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искусства «Таврида» в составе арт-кластера «Таврида», в которых приняли участие 25 представителей молодежи.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Мы вместе (Воспитание гармонично развитой личности)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183 738 молодых людей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приняли участия в мероприятиях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направленны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 увеличение численности детей и молодежи в возрасте до 35 лет, вовлеченных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социально-активную деятельност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ь через патриотические проекты;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Размещено 217 постов в информационно-телекоммуникационной сети «Интернет» по основным направлениям добровольчества (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волонтерства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 с общим охватом 40 087 человек.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Экономика данных и цифровая трансформация государства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Цифровое государственное управление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4"/>
        <w:ind w:firstLine="709"/>
        <w:jc w:val="both"/>
        <w:rPr>
          <w:rFonts w:ascii="PT Astra Serif" w:hAnsi="PT Astra Serif" w:cs="PT Astra Serif"/>
          <w:b w:val="0"/>
          <w:sz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96,14% обращений за получением массовых социально значимых государственных и муниципальных услуг от общего количества обращений направлено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электронном виде с использованием ЕПГУ и (или) РПГУ (план - 51%);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 w:val="0"/>
          <w:sz w:val="24"/>
        </w:rPr>
      </w:r>
    </w:p>
    <w:p>
      <w:pPr>
        <w:pStyle w:val="984"/>
        <w:ind w:firstLine="709"/>
        <w:jc w:val="both"/>
        <w:rPr>
          <w:rFonts w:ascii="PT Astra Serif" w:hAnsi="PT Astra Serif" w:cs="PT Astra Serif"/>
          <w:b w:val="0"/>
          <w:sz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100%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массовых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социально значимых государственных и муниципальных услуг предоставлены в электронной форме (план - 96%);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 w:val="0"/>
          <w:sz w:val="24"/>
        </w:rPr>
      </w:r>
    </w:p>
    <w:p>
      <w:pPr>
        <w:pStyle w:val="984"/>
        <w:ind w:firstLine="709"/>
        <w:jc w:val="both"/>
        <w:rPr>
          <w:rFonts w:ascii="PT Astra Serif" w:hAnsi="PT Astra Serif" w:cs="PT Astra Serif"/>
          <w:b w:val="0"/>
          <w:sz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деятельность исполнительных органов Томской области внедрена типовая информационная система «Государственная жилищная инспекция» Томской области, обеспечивающая оказание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госуслуг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онлайн (план - 1 единица);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 w:val="0"/>
          <w:sz w:val="24"/>
        </w:rPr>
      </w:r>
    </w:p>
    <w:p>
      <w:pPr>
        <w:pStyle w:val="984"/>
        <w:ind w:firstLine="709"/>
        <w:jc w:val="both"/>
        <w:spacing w:after="120"/>
        <w:rPr>
          <w:rFonts w:ascii="PT Astra Serif" w:hAnsi="PT Astra Serif" w:cs="PT Astra Serif"/>
          <w:b w:val="0"/>
          <w:sz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отношении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55,41% государственных услуг и сервисов средняя оценка удовлетворенности качеством работы госслужащих и работников организаций социальной сферы по их оказанию в электронном виде с использованием ЕПГУ и (или) РПГУ составила выше 4,5 (план - 53%).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 w:val="0"/>
          <w:sz w:val="24"/>
        </w:rPr>
      </w:r>
    </w:p>
    <w:p>
      <w:pPr>
        <w:pStyle w:val="984"/>
        <w:ind w:firstLine="709"/>
        <w:jc w:val="both"/>
        <w:rPr>
          <w:rFonts w:ascii="PT Astra Serif" w:hAnsi="PT Astra Serif" w:cs="PT Astra Serif"/>
          <w:b w:val="0"/>
          <w:sz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Отечественные решения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 w:val="0"/>
          <w:sz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83,22% рабочих мест и компонентов государственных информационных систем исполнительных органов власти Томской области переведено </w:t>
        <w:br/>
        <w:t xml:space="preserve">на отечественное программное обеспечение (план - 63,43%)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Экологическое благополучие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Экономика замкнутого цикла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веден в эксплуатацию автоматизированный мусоросортировочный комплекс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  <w:t xml:space="preserve">в г. Северске.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Сохранение лесов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contextualSpacing w:val="0"/>
        <w:ind w:left="0" w:firstLine="709"/>
        <w:jc w:val="both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ыполнены мероприятия по увеличению площади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лесовосстановления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  <w:br/>
        <w:t xml:space="preserve">на лесных участках, не переданных в аренду, на площади 30,2 га.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Инфраструктура для жизни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Жилье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  <w:br/>
        <w:t xml:space="preserve">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Введено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377,9 тыс. кв. м. жилья,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ч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МКД 154,18 тыс.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кв. м. и ИЖС 223,71 тыс. кв. м;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Увеличена общая площадь жилых помещений, приходящихся в среднем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 одного жителя до 28,5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кв. м.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8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человек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ереселено из 152 410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кв.м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непригодного для проживания жилищного фонда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план на 2025 нарастающим итогом с 2019 года -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7 140 человек из 124 400 кв. м.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Формирование комфортной городской среды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numPr>
          <w:ilvl w:val="6"/>
          <w:numId w:val="49"/>
        </w:numPr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Благоустроено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43 общественных территори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19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муниципальных образованиях Томской области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49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Внедрение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комфортной городской среды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 малых городах и исторических поселениях 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победителях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Всероссийского конкурса лучших проектов создания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комфортной городской среды: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завершено благоустройство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«Территори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отдыха у водоема в Северском природном парке» ЗАТО Северск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709"/>
        <w:jc w:val="both"/>
        <w:spacing w:after="12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ачаты работы по благоустройству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«Общественно образовательно-развивающего пространство «Белые ночи» г. Стрежевом, техническая готовность – 93%, завершение работ в 2026 году.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Развитие инфраструктуры в населенных пунктах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ind w:left="0" w:firstLine="709"/>
        <w:jc w:val="both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тверждена программа развития инфраструктуры в опорных населенных пунктах Томской области. Ведется реализация программы в срок до 2030 года.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Модернизация коммунальной инфраструктуры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pacing w:val="2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Завершен капитальный ремонт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тепловой сети по ул. Беринга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г. Томск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;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</w:r>
      <w:r>
        <w:rPr>
          <w:rFonts w:ascii="PT Astra Serif" w:hAnsi="PT Astra Serif" w:cs="PT Astra Serif"/>
          <w:spacing w:val="2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pacing w:val="2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Завершен 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апитальный ремонт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наружных тепловых сетей </w:t>
        <w:br/>
        <w:t xml:space="preserve">по ул. Иркутский тр., 134т в г. Томске;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</w:r>
      <w:r>
        <w:rPr>
          <w:rFonts w:ascii="PT Astra Serif" w:hAnsi="PT Astra Serif" w:cs="PT Astra Serif"/>
          <w:spacing w:val="2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pacing w:val="2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3. 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Выполнены работы по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троительству участка квартальной тепловой сети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по адресу Большая Подгорная, д. 159А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в г. Томске;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</w:r>
      <w:r>
        <w:rPr>
          <w:rFonts w:ascii="PT Astra Serif" w:hAnsi="PT Astra Serif" w:cs="PT Astra Serif"/>
          <w:spacing w:val="2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pacing w:val="2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4.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г. Томске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проведена р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еконструкци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водопроводной линии </w:t>
        <w:br/>
        <w:t xml:space="preserve">от ул. Пушкина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по пер. Переездному, пер. Осеннему, ул. Транспортной, пер. Паровозному, пер. Железнодорож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ному до пер. Путевого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;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</w:r>
      <w:r>
        <w:rPr>
          <w:rFonts w:ascii="PT Astra Serif" w:hAnsi="PT Astra Serif" w:cs="PT Astra Serif"/>
          <w:spacing w:val="2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pacing w:val="2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5. Выполнены работы по 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апитальному ремонту магистрального трубопровода теплоснабжения по ул. Мира в г. Стрежевой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</w:r>
      <w:r>
        <w:rPr>
          <w:rFonts w:ascii="PT Astra Serif" w:hAnsi="PT Astra Serif" w:cs="PT Astra Serif"/>
          <w:spacing w:val="2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pacing w:val="2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6. Завершен 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апит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альный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ремонт водоводов неочищенной воды </w:t>
        <w:br/>
        <w:t xml:space="preserve">и водопровода для собственных нужд водозабора № 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сооружения № 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по ул.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Сосновая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, 22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в «ЗАТО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Северск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</w:r>
      <w:r>
        <w:rPr>
          <w:rFonts w:ascii="PT Astra Serif" w:hAnsi="PT Astra Serif" w:cs="PT Astra Serif"/>
          <w:spacing w:val="2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pacing w:val="2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7.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Завершены работы по 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апитальному ремонту водоводов неочищенной воды (участки 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9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№,17) и водопровода для собственных нужд водозабора </w:t>
        <w:br/>
        <w:t xml:space="preserve">№ 2 (участки № 10,11,12,13,14) в ЗАТО Северск, по ул. Сосновая, 22.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</w:r>
      <w:r>
        <w:rPr>
          <w:rFonts w:ascii="PT Astra Serif" w:hAnsi="PT Astra Serif" w:cs="PT Astra Serif"/>
          <w:spacing w:val="2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Региональная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местная дорожная сеть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numPr>
          <w:ilvl w:val="0"/>
          <w:numId w:val="52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Проведены ремонтные работы на 28 участках автомобильных дорогах общей протяженностью 157,3 км (план – 127,9 км):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на региональных автомобильных дорогах агломерации отремонтировано 20,778 км,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в «ЗАТО Северск» отремонтировано 1,969 км,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г. Томске отремонтировано 17,838 км.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на региональных и межмуниципальных дорогах, не входящих </w:t>
        <w:br/>
        <w:t xml:space="preserve">в агломерац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ию отремонтировано - 116,673 км;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2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Завершены основные работы по ремонту мостового перехода (северный мост) через р. Томь на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6+000 автомобильной дороги Объездная дорога г. Томска в Томском районе (техническая готовность — 98%). Ведется работа по устранению недочетов. Срок ввода объекта в эксплуатацию – 2026 год;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2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Ведутся работы по ремонту мостового перехода через р. Кию (техническая готовность — 63%). Срок ввода объекта в эксплуатацию — 2026 год;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2"/>
        </w:numPr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Ведутся работы по ремонту Мостовой переход через р. Чая на км 275+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355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а/д Томск - Каргала – Колпашево в 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Колпашевск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р-не, тех. готовность – 53%,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срок завершения работ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–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2026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Общесистемные меры развития дорожного хозяйства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Завершено строительство автоматического пункта весового и габаритного контроля транспортных средств в движении в составе Объездной автомобильной дороги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г. Томска на участке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6-8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(план – 1 шт.);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Приобретен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установлен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стационарных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компле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кса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фотовидеофиксации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(план – 2 шт.)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Безопасность дорожного движения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Проведены областные конкурсы и соревнования среди отрядов юных инспекторов движения (далее – ЮИД). Проведен региональный этап Всероссийских соревнований ЮИД, прошел межмуниципальный этап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конкурса ЮИД «Светофорный ринг»;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Организовано 25 сме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 с дневным пребыванием для ЮИД;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Издано 5 000 шт. печатной продукции по пропаганде БДД для образовательных организаций (па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мятки, буклеты, листовки и др.);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Приобретен 1 комплект учебно-игрового оборудован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ия (передан </w:t>
        <w:br/>
        <w:t xml:space="preserve">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Асиновский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5. Изготовлено 159 000 шт.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световозвращающих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приспособлений для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профилактики детского дор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ожно-транспортного травматизма;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6. 140 специалистов (110 сотрудников ГПС МЧС России по Томской области и 30 сотрудников ДПС ГИБДД) обучены приемам оказания первой медицинской помощи лицам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пострадавшим в результате ДТП;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7. Нанесено 456 731,24 кв. м горизонтальной разметки про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езжей части автомобильных дорог;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8. Установлено 8 875,0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пог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барьерного ограждения;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9. Установлено 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18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пог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м пешеходных ограждений;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10. Установлено 4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проекционных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пешеходных перехода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11. Установлен 681 дорожный знак.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Семья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Многодетная семья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Оказаны меры социальной поддержки 3 692 семьям: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270 женщинам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обучающи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ся по очной форме обучения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предоставлена единовременная выплата в размере не менее 100 тыс. рублей при постановке </w:t>
        <w:br/>
        <w:t xml:space="preserve">на учет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беременности;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12 молодым семьям с детьми предоставлена компенсация стоимости найма жилого помещения;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414 получателям предоставлена «Единовременная выплата в размере не менее 300 тыс. рублей при рождении начиная с 01.01.2025 г. третьего или последующих детей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многодетной семье»;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415 семей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Томской области воспользовались 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слугами пунктов бесплатного проката предметов первой необходимости для новорожденных и детей до двух лет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(коляски, манеж, кроватка для новорожденных с матрасом, ходунки, стульчик,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видеоняня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пеленальные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столики и пр.);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36 семей воспользовались услугами по организации кратковременного присмотра и ухода за детьми до 3-х лет на дому;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2 415 семей получили помощь в целях обеспечения подготовки семьи </w:t>
        <w:br/>
        <w:t xml:space="preserve">к рождению ребенка;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130 семей получили бесплатное прохождение подготовительного этапа программы экс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тракорпорального оплодотворения;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Заключено 2 122 социальных контракт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 семьями (одиноко проживающими гражданами), имеющими среднедушевой доход ниже величины прожиточного минимума на душу населения, установленной по месту жительства заявителя.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Поддержка семьи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роведены комплексные мероприятия по информированию граждан о мерах социальной поддержки семей и семей с детьми, направленных на повышение рождаемости. Сведения  о мерах поддержки регулярно размещались в тел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радиопрограммах, в популярных социальных медиа-сообществах, в областных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районных газетах, а также распространялись в виде буклетов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плакатов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Количество публикаций в 2025 году составило 6 000 штук.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Старшее поколение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278 граждан старше трудоспособного возраста и инвалиды получили услуги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системы долговременного ухода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74 831 граждан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старшего поколения вовлечен в региональную программу «Активное долголетие».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Семейные ценности и инфраструктура культуры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0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кап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итальный ремонт 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учреждений культуры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Продолжаются работы по капитальному ремонту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ОГАУК «Театр драмы», техническая готовность 50% (завершение работ в 2026 году)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0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Томский областной художественный музей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оснащен оборудованием для хранения экспонатов и выставочный деятельности;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0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Переоснащены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модельному стандарту 10 муниципальных библиотек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Асиновском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Бакчарском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Верхнекетском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Каргасокском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Колпашевском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Зырянском,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Кривошеинском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Кожевниковском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Первомайском,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Молчановском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районах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0"/>
        </w:numPr>
        <w:ind w:left="0" w:firstLine="709"/>
        <w:jc w:val="both"/>
        <w:spacing w:after="12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Проведён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II Губернаторск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фестивал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народного творчества с вручением премий и фестиваля казачьей культуры «Братина»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Кривошеинском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районе.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Охрана материнства и детства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итогам 2025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Департаментом здравоохранения Томской области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разработана и утверждена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региональная программа по охране материнства и детства в Томской области (распоряжение Департамента здравоохранения Томско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й области от 09.12.2025 № 1316);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Проведено 1156 циклов ЭКО (план – 820 ед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иниц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709" w:leader="none"/>
          <w:tab w:val="left" w:pos="1134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Эффективная и конкурентная экономика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Малое и среднее предпринимательство и поддержка индивидуальной предпринимательской инициативы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1 641 субъекту МСП и гражданам, желающим вести бизнес, обеспечено оказание услуг и мер поддержки организациями инфраструктуры поддержки малого и среднего предпринимательства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субъектам МСП обеспечен льготный доступ к производственным площадям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помещениям индустриальных (промышленных) парков, агропромышленных парков,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бизнес-парков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технопарков, промышленных технопарков в целях создания (развития) производст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венных и инновационных компаний;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убъектами МСП обеспечено привлечение финансирования за счет поручительств (независимых гарантий) фондов содействия кредитованию (гарантийных фондов, фондов поручитель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ств) в объеме 953,1 млн. рублей;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убъектам МСП обеспечен льготный доступ к заемным средствам государственных (муниципальных)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микрофинансовых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организаций в сумме 356,1 млн. рублей.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Производительность труда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Вовлечено 12 предприятий базовых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несырьевых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отраслей экономики для реализации проектов по повышению производительности труда, из них </w:t>
        <w:br/>
        <w:t xml:space="preserve">на 8 предприятиях реализованы проекты по повышению производительности труда по направлению «Бережливое производство» при поддержке Ре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гионального центра компетенций;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Достигнуто значение показателя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оля предприятий, достигших ежегодного 5%-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прироста производительности труда на предприятиях-участниках, внедряющих мероприятия по повышению производительности труда под федеральным и региональным управлением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составило 56,7% предприятий Томской области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Технологическое обеспечение продовольственной безопасности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Кадры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агропромышленном комплексе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10 граждан Российской Федерации прошли обучение </w:t>
        <w:br/>
        <w:t xml:space="preserve">для сельскохозяйственных товаропроизводителей 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организаций, осуществляющих переработку сельскохозяйственной продукции, на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сельских территориях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Привлечены 67 студента для прохождения практики и осуществления трудовой деятельности к сельскохозя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йственным товаропроизводителям;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Создан агротехнологический класс на базе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Володинской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СОШ площадью 62,7 кв.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Международная кооперация и экспорт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Системные меры развития международной кооперации и экспорта в Томской области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Приняты Стратегия по обеспечению благоприятных условий для развития экспорта и внешних связей Томской области до 2030 года и региональная программа «Развитие экспорта в Томской области до 2030 года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на перспективу </w:t>
        <w:br/>
        <w:t xml:space="preserve">до 2036 года»;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При содействии Центра поддержки экспорта Томской области 25 томских компаний заключили 32 экспортных контракта, из них 8 компан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ий вышли </w:t>
        <w:br/>
        <w:t xml:space="preserve">на экспорт впервые;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Организовано участие томских компаний в 22 международных выставках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ярмарках в России и за рубежом (Китай, Белару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сь, ОАЭ, Казахстан, Узбекистан);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Проведено 9 бизнес-миссий в Индонези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Узбекистан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Малайзи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Казахстан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Вьетнам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Киргизи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Инди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5. Организовано 4 реверсных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бизнес-миссии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иностранных покупателей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из Казахстана, Узбекистана, Беларуси, Китая,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Монголия, Кыргызстана и Армении;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6. 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10 компаний размещен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международных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маркетплейсах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7. 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27 компаний стали обладателями сертификата «Сделано в России» </w:t>
        <w:br/>
        <w:t xml:space="preserve">и вошли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Программу по продвижению российской продукции за рубежом под национальным брендом «Сделано в России».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Экспорт продукции агропромышленного комплекса Томской области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1. Объем экспорта продукции агропромышленного комплекса к показателю 2021 года (в номинальных ценах)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составил 0,0582 млрд. долл. США;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Экспортировано 70,1 тыс. тонн продукции АПК на сумму 0,0582 млрд. долларов США, в том числе: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- продукция масложировой от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расли 0,0158 млрд. долларов США;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- пищевая и перерабатывающ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ая 0,0163 млрд. долларов США;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- мясная и молочная прод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укция 0,0221 млрд. долларов США;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- прочая продукц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ия АПК 0,004 млрд. долларов США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Туризм и гостеприимство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Создание номерного фонда, инфраструктуры и новых точек притяжения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Реализован проект по развитию и обустройству общественной территории туристического центра, в результате которого установлена декоративная, фасадная подсветка зданий с помощью технологии слайд-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мэппинга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адресам: пл. Ленина, 4 и ул. Бакунина, 3 в г. Томске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Проведены два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событийных мероприятия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туристической направленности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ежрегиональный фестиваль казачьей культуры «Братина»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еждународный фестиваль народных ремесел «Праздник топора»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Беспилотные авиационные системы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Разработка, стандартизация и серийное производство БАС и комплектующих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3"/>
        </w:numPr>
        <w:ind w:left="0" w:firstLine="709"/>
        <w:jc w:val="both"/>
        <w:spacing w:after="0" w:line="240" w:lineRule="auto"/>
        <w:tabs>
          <w:tab w:val="left" w:pos="0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Открыт Научно-производственный центр беспилотных авиационных систем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 (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АНО «НПЦ БАС ТО»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3"/>
        </w:numPr>
        <w:ind w:left="0" w:firstLine="709"/>
        <w:jc w:val="both"/>
        <w:spacing w:after="0" w:line="240" w:lineRule="auto"/>
        <w:tabs>
          <w:tab w:val="left" w:pos="0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Проведены летные испытания БАС «Сова 20»,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Полкан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 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, проекта большого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коптера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 БК-1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3"/>
        </w:numPr>
        <w:jc w:val="both"/>
        <w:spacing w:after="0" w:line="240" w:lineRule="auto"/>
        <w:tabs>
          <w:tab w:val="left" w:pos="0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Поданы заявки на сертификацию двух образцов БАС «Сова 20» и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Полкан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 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3"/>
        </w:numPr>
        <w:ind w:left="0" w:firstLine="709"/>
        <w:jc w:val="both"/>
        <w:spacing w:after="0" w:line="240" w:lineRule="auto"/>
        <w:tabs>
          <w:tab w:val="left" w:pos="0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Обучены 50 человек по программе профессионального обучения «Оператор БАС»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3"/>
        </w:numPr>
        <w:ind w:left="0" w:firstLine="709"/>
        <w:jc w:val="both"/>
        <w:spacing w:after="0" w:line="240" w:lineRule="auto"/>
        <w:tabs>
          <w:tab w:val="left" w:pos="0" w:leader="none"/>
          <w:tab w:val="left" w:pos="142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Продолжается разработка БАС «Сова», «Шмель», разрабо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тка большой версии БАС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Полкан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3"/>
        </w:numPr>
        <w:ind w:left="0" w:firstLine="709"/>
        <w:jc w:val="both"/>
        <w:spacing w:after="120" w:line="240" w:lineRule="auto"/>
        <w:tabs>
          <w:tab w:val="left" w:pos="0" w:leader="none"/>
          <w:tab w:val="left" w:pos="142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АНО «НПЦ БАС ТО» разработан электродвигатель для больших БВС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с максимальной тягой до 200 кг.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реализации мероприятий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регионального проекта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Стимулирование спроса на отечественные беспилотные авиационные системы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итогам 2025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года: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Приобретена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1 ед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</w:rPr>
        <w:t xml:space="preserve">иница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беспилотной авиационной системы для наблюдений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контроля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за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пожарной опасностью в лесах;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 w:val="0"/>
          <w:bCs w:val="0"/>
          <w:i w:val="0"/>
          <w:iCs w:val="0"/>
          <w:spacing w:val="2"/>
          <w:sz w:val="26"/>
          <w:szCs w:val="26"/>
          <w:highlight w:val="yellow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Осуществлена поставка 7 ед. БАС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Геоскан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801 по заключенному контракту 2024 года для наблюдений 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контроля за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пожарной опасностью в лесах.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pacing w:val="2"/>
          <w:sz w:val="26"/>
          <w:szCs w:val="26"/>
          <w:highlight w:val="yellow"/>
          <w:lang w:eastAsia="ru-RU"/>
        </w:rPr>
        <w:br w:type="page" w:clear="all"/>
      </w:r>
      <w:r>
        <w:rPr>
          <w:rFonts w:ascii="PT Astra Serif" w:hAnsi="PT Astra Serif" w:cs="PT Astra Serif"/>
          <w:b w:val="0"/>
          <w:bCs w:val="0"/>
          <w:i w:val="0"/>
          <w:iCs w:val="0"/>
          <w:spacing w:val="2"/>
          <w:sz w:val="26"/>
          <w:szCs w:val="26"/>
          <w:highlight w:val="yellow"/>
        </w:rPr>
      </w:r>
      <w:r>
        <w:rPr>
          <w:rFonts w:ascii="PT Astra Serif" w:hAnsi="PT Astra Serif" w:cs="PT Astra Serif"/>
          <w:b w:val="0"/>
          <w:bCs w:val="0"/>
          <w:i w:val="0"/>
          <w:iCs w:val="0"/>
          <w:spacing w:val="2"/>
          <w:sz w:val="26"/>
          <w:szCs w:val="26"/>
          <w:highlight w:val="yellow"/>
        </w:rPr>
      </w:r>
    </w:p>
    <w:p>
      <w:pPr>
        <w:ind w:left="709"/>
        <w:jc w:val="center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Перспективные задачи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реализации национальных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(региональных) проектов на 2026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Кадры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Образование для рынка труда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редоставление субсидий ра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ботодателям на организацию профессионального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обучения 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дополнительного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профессионального образования работников предприятий оборонно-промышленного комплекса, а также граждан, обратившихся в органы службы занятости в поиске подходящей работы </w:t>
        <w:br/>
        <w:t xml:space="preserve">и заключивших ученический договор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 предприятиями оборонно-промышленного комплекса.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Планируется обучить 175 человек.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Человек труда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ие 9 региональных этапов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Всероссийского конкурса профессионального мастерства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Лучший по профессии»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спец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оминации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  <w:br/>
        <w:t xml:space="preserve">для переобучившихся по рабочим профессиям «Второй старт»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номинациях: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Специ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алист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  <w:t xml:space="preserve">по робототехнике», «Повар»,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Швея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Агроном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Машинист бульдозера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Машинист экскаватора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Монтажник радиоэлектронной аппаратуры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Оператор станков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 программным управлением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Проведение федерального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этап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Всероссийского конкурса профессионального мастерства «Лучший по профессии»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 номинации «Специалист по робототехнике».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Продолжительная и активная жизнь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Совершенствование экстренной медицинской помощи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планируется: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Эвакуация 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98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пациентов с ис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пользованием санитарной авиации;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Доля лиц, госпитализированных по экстренным показаниям в течение первых суток, от общего числа больных, к которым совершены вылеты, составит 98%.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Борьба с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сердечно-сосудистыми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заболеваниями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Обеспечение профилактики прогрессирования ишемической болезни сердца и развития ее осложнений у 1 699 пациентов, находящих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ся под диспансерным наблюдением;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Обеспечение профилактики развития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сердечно-сосудистых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заболеваний и сердечно-сосудистых осложнений у 4 556 пациентов высокого риска, находящихся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 диспансерном наблюдении.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Борьба с гепатитом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минимизация рисков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распространения данного заболевания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Обеспечение потребности в лекарственных препаратах 181 пациента с хроническим вирусным гепатитом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получающего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лечение в амбулаторных условиях;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Обеспечение 517 пациентов с хроническим вирусным гепатитом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  <w:br/>
        <w:t xml:space="preserve">в условиях дневного стационара полным курсом противовирусной терапии в рамках обязате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льного медицинского страхования;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Достижение устойчивого вирусологического ответа у 653 пациентов с хроническим вирусным гепатитом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завершивших курс проти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вовирусной терапии;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Проведение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скрининговых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исследований на антитела гепатиту C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54 646 граждан в возрасте 25 лет и старше один раз в 10 лет путем определения суммарных антител к вирусу гепатита C в крови.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284" w:leader="none"/>
          <w:tab w:val="left" w:pos="426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Борьба с сахарным диабетом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Обеспечение 4 661 больного сахарным диабетом прохождением школ для пациентов с сахарным диабетом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как обязательного метода диспансерного наблюдения и лечения больных сахарным диабетом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 соответстви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</w:t>
        <w:br/>
        <w:t xml:space="preserve">с клиническими рекомендациями;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Обеспечение 354 детей с сахарным диабетом 1 типа в возрасте от 2 до 17 лет включительно системами непрерывного мониторинга глюкозы, в том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числе российского производства;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Обеспечение 610 беременных женщин с сахарным диабетом системами непрерывного мониторинга глюкозы, в том числе российского производства.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851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Модернизация первичного звена здравоохранения Российской Федерации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Завершение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троительств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поликлиники мо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щностью 350 посещений </w:t>
        <w:br/>
        <w:t xml:space="preserve">в смену с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детским отделением на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120 посещений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мкр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Восточный;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З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авершен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капитальн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ремонт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на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-х объектах: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ОГАУЗ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Стрежевская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городская больница»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ОГАУЗ «Томская районная больница»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ОГБУЗ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Каргасокская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районная больница»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Приобретение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4-х единиц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быстровозводимых модульных конструкций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 3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фельдшерско-акушерских пункта (ОГАУЗ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Томская РБ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ОГАУЗ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Шегарская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РБ»,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ОГАУЗ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Светленская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РБ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1 врачебная амбулатория (ОГАУЗ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Томская РБ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Приобретение автомобильного транспорта в количестве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единиц </w:t>
        <w:br/>
        <w:t xml:space="preserve">для оснащ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ения 12 медицинских организаций;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Приобретение 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0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единиц медицинского оборудования в медицинские учреждения г. Томска,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Шегарского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Томского,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Асиновского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Парабельского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районов.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«Оптимальная для восстановления здоровья медицинская реабилитация»: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снащение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ОГБУЗ 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Асиновская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РБ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медицинскими изделиями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количестве 18 единиц.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«Здоровье для каждого»: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снащение центра здоровья (ОГБУЗ «Городская клиническая больница № 1» г. Томск) оборудованием для выявления и коррекции факторов риска развития хронических неинфекционных заболеваний.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«Медицинские кадры»: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Обучение 74 человек по программам среднего профессионального образования по договорам, предусматривающим 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бязательство </w:t>
        <w:br/>
        <w:t xml:space="preserve">по трудоустройству;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Обучение 190 человек по программам повышения квалификации медицинских работников, оказывающих и обеспечивающих ока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зание скорой медицинской помощи;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Трудоустройство 250 ординаторов второго года врачами-стажерами.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«Борьба с онкологическими заболеваниями»: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риобретение однофотонного эмиссионного компьютерного томографа, совмещенного с рентгеновским компьютерным томографом в количест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ве </w:t>
        <w:br/>
        <w:t xml:space="preserve">1 единицы в ОГАУЗ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Томский областной онкологический диспансер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0" w:leader="none"/>
          <w:tab w:val="left" w:pos="851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Молодежь и дети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«Все лучшее детям»: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Продолжение строительства школы на 1 100 мест в г. Томске </w:t>
        <w:br/>
        <w:t xml:space="preserve">по ул.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А. Крячкова,3. Дата окончания испо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лнения контракта - 11.03.2027 г;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168 школах планируется оснащение предметных кабинетов для реализации образовательных программ по учебным предм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етам: «Физика»,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ИЗО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», «Музыка»;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30 зданиях образовательных организаций планируется провести работы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 капитальному ремонту в 2026 г;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В 5 зданиях образовательных организаций планируется начать работы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капитальному ремонту (мероприятия двухгодичного цикла реализации: 2026 -2027 гг.);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5. Планируется завершить работы по капитальному ремонту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ОГБОУ КШИ «Томский кадетский корпус» имени Героя Российской Федерации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Пескового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Максима Владимировича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ОГБОУ «Томский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физико – технический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лицей» (спальный корпус)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6. 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30 отремонтированных зданий и помещений планируется оснастить современными средствами обучения и воспитания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обеспечи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ть антитеррористической защитой;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7. 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Для 27 команд планируется провести повышение квалификации школьных команд общеобразовательных организаций, в которых осуществляется капитальный ремонт.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Педагоги и наставники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346 советников директоров  планируется обеспечить выплатами ежемес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ячного денежного вознаграждения;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285 образовательных организациях планируется реализовать мероприятия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обеспечению де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ятельности советников директора;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6 315 выплат ежемесячного денежного вознаграждения за классное руководство планируется предоставить педагогическим работник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ам образовательных организаций;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845 выплат ежемесячного денежного вознаграждения за классное руководство (кураторство) педагогическим работникам среднег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 профессионального образования;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ff0000"/>
          <w:sz w:val="26"/>
          <w:szCs w:val="26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23 педагогам планируется осуществить единовременную компенсационную выплату в рамках программы «Земский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учитель»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ff0000"/>
          <w:sz w:val="26"/>
          <w:szCs w:val="26"/>
        </w:rPr>
      </w:r>
      <w:r>
        <w:rPr>
          <w:rFonts w:ascii="PT Astra Serif" w:hAnsi="PT Astra Serif" w:cs="PT Astra Serif"/>
          <w:color w:val="ff000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Профессионалитет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85% выпускников пройдут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обучение по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программам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Профессионалитета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46% обучающихся 6 – 11-х классов, примут участие </w:t>
        <w:br/>
        <w:t xml:space="preserve">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профориентационных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мероприятиях в рамк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ах Единой модели профориентации;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3. 35%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обучающихся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программам среднего профессионального образования пройдут демонстрацио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нный экзамен профильного уровня.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jc w:val="both"/>
        <w:spacing w:after="0" w:line="240" w:lineRule="auto"/>
        <w:rPr>
          <w:rFonts w:ascii="PT Astra Serif" w:hAnsi="PT Astra Serif" w:cs="PT Astra Serif"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«Россия – страна возможностей»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i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рганизация и проведение 9 образовательных зае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здов для 15-ти молодых деятелей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культуры и искусства «Таврида»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(план – 15 человек).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«Мы вместе (Воспитание гармонично развитой личности)»: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ind w:left="0" w:firstLine="709"/>
        <w:jc w:val="both"/>
        <w:spacing w:after="12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роведение мероприятий, направленных на увеличение численности детей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молодежи в возрасте до 35 лет, вовлеченных в социально-активную деятельность через патриотические проекты (план -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159 805 человек).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contextualSpacing/>
        <w:ind w:firstLine="709"/>
        <w:jc w:val="both"/>
        <w:spacing w:after="120" w:line="240" w:lineRule="auto"/>
        <w:tabs>
          <w:tab w:val="left" w:pos="0" w:leader="none"/>
          <w:tab w:val="left" w:pos="851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Экономика данных и цифровая трансформация государства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Цифровые платформы в отраслях социальной сферы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numPr>
          <w:ilvl w:val="0"/>
          <w:numId w:val="54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34 образовательных организациях планируется сформировать 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инфраструктуру для обеспечения в помещения безопасного доступа </w:t>
        <w:br/>
        <w:t xml:space="preserve">к государственным, муниципальным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иным информационным системам;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4"/>
        </w:numPr>
        <w:ind w:left="0" w:firstLine="709"/>
        <w:jc w:val="both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386 образовательных организаций планируется обеспечить высокоскоростным доступом к сети «Интернет».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Цифровое государственное управление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Развитие региональной информационной системы в целях интеграции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 витриной данных органов государственной власти и органов управления государственными внебюджетными фондами;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Внедрение типовых информационных систем, реализованных на базе единой цифровой платформы, и (или) собственных региональных 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решений </w:t>
        <w:br/>
        <w:t xml:space="preserve">в деятельность региональных органов исполнительной власти и органов местного самоуправления субъектов Российской Федерации, обеспечивающих оказание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госуслуг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онлайн или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проактивном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режиме (план – 2 штуки).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Отечественные решения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связи с переходом исполнительных органов государственной власти Томской области на российское программное обеспечение, доля российского программного обеспечения, используемого в деятельности органов, должна составить 71,32%.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Экологическое благополучие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Экономика замкнутого цикла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связи с функционированием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 2026 году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автоматизированного мусоросортировочного комплекса в г. Северске: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доля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захораниваемых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твердых коммунальных отходов в общей массе образованных твердых коммунальных отходов составит 84%;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contextualSpacing/>
        <w:ind w:firstLine="709"/>
        <w:jc w:val="both"/>
        <w:spacing w:after="12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доля обрабатываемых твердых коммунальных отходов в общей массе образованных твердых коммунальных отходов составит 39%.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Сохранение лесов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Приобретение 2-ух ед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иниц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специализированной пожарной техники </w:t>
        <w:br/>
        <w:t xml:space="preserve">для проведения комплекса меропри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ятий по охране лесов от пожаров;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Выполнение мероприятия по увеличению площади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лесовосстановления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 лесных участках, не переда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нных в аренду, на площади 70 га;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Выполнение мероприятий по уходу за объектами лесного семеноводства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 площади 65,5 га.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Инфраструктура для жизни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Жилье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numPr>
          <w:ilvl w:val="0"/>
          <w:numId w:val="55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Увеличение объема жилищного ст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роительства до 546,0 тыс. кв. м;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5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Увеличение общей площади жилых помещений, приходящейся в среднем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 одного жителя до 28,9 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5"/>
        </w:numPr>
        <w:ind w:left="0" w:firstLine="709"/>
        <w:jc w:val="both"/>
        <w:spacing w:after="12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Переселение 8 366  граждан из 144 380 кв. м. непригодного </w:t>
        <w:br/>
        <w:t xml:space="preserve">для проживания жилищного фонда (нарастающим итогом с 2019 года).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«Формирование комфортной городской среды»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numPr>
          <w:ilvl w:val="6"/>
          <w:numId w:val="59"/>
        </w:numPr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Благоустройство 43 общественных территорий во всех муниципальных образованиях Томской области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3"/>
          <w:numId w:val="59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Реализованы проекты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победителей Всероссийского конкурса лучших проектов создания комфортной городской среды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 малых городах и исторических поселениях: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709"/>
        <w:jc w:val="both"/>
        <w:spacing w:after="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«Общественное образовательно-развивающего пространство «Белые ночи»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г. Стрежевом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(завершение работ)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709"/>
        <w:jc w:val="both"/>
        <w:spacing w:after="12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Благоустройство территории сквера П.И. Чайковского и Театральной площади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 ЗАТО Северск.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ind w:left="709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Развитие инфраструктуры в населенных пунктах»: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jc w:val="both"/>
        <w:spacing w:after="120" w:line="240" w:lineRule="auto"/>
        <w:tabs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лучшение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качество среды для жизни в опорных населенных пунктах на 15,54%.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«Модернизация коммунальной инфраструктуры»: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Капитальный ремонт объектов теплоснабже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ния, водоснабжения </w:t>
        <w:br/>
        <w:t xml:space="preserve">в г. Томске: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тепловой сети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тепломагистрали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№ 11С от тепловой камеры 8Б-23-14 </w:t>
        <w:br/>
        <w:t xml:space="preserve">до тепловой камеры 8Б-23-16 и от узла 8Б-13 до тепловой камеры 8Б-13-1;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тепловой сети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тепломагистрали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№ 1 от тепловой камеры 128-17-2 </w:t>
        <w:br/>
        <w:t xml:space="preserve">до тепловой камеры ТК-128-17-26;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тепловой сети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тепломагистрали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№ 11ЮГ от тепловой камеры 11-49-5 </w:t>
        <w:br/>
        <w:t xml:space="preserve">до узла 11ЮГ_243 и от тепловой камеры 11-46-7-7 до тепловой камеры 11-46-7-11;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водопроводной линии по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ибирская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от ул. Киевская до ул. Жуковского;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Капитальный ремонт объектов теплоснабжения, водоснабжения </w:t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ЗАТО Северске: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наружных инженерных сетей теплоснабжения 2-я Южная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тепломагист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p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аль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от тп-4 до кол. 9 (к-6), ул. Лесная, 21а, сооружение № 475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(инв. № 10103428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); ТП-3 по ул. Северная автодорога, ½ 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120" w:line="240" w:lineRule="auto"/>
        <w:tabs>
          <w:tab w:val="left" w:pos="284" w:leader="none"/>
          <w:tab w:val="left" w:pos="851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водоводов неочищенной воды и водопровод для собственных нужд водозабора № 2,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расположенных по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ул.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Сосновая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22, сооружение № 1в </w:t>
        <w:br/>
        <w:t xml:space="preserve">(инв. № 101032700).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«Региональная и местная дорожная сеть»: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 Проведение ремонтных работ на 24 участках автомобильных дорогах (162,49 км), в том числе: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на региональных и межмуниципальных – на 15 объектах (156,52 км);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 «ЗАТО Северск» – на 6 объектах (3,04 км);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 «Город 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омск» - на 3 объектах (2,93 км);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 Приведение в нормативное состояние 1,39 км искусственных сооружений: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капитальный ремонт мостового перехода через р. Кайму (срок реализации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  <w:t xml:space="preserve">2026-2027 гг.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завершение ремонта мостового перехода через р. Кия;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709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завершение ремонта мостового перехода через р. Чаю (срок реализации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  <w:t xml:space="preserve">2025-2026 гг.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«Общесистемные меры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развития дорожного хозяйства»: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проектирование 1-го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pacing w:val="-2"/>
          <w:sz w:val="26"/>
          <w:szCs w:val="26"/>
        </w:rPr>
        <w:t xml:space="preserve">автоматического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/>
          <w:spacing w:val="-2"/>
          <w:sz w:val="26"/>
          <w:szCs w:val="26"/>
        </w:rPr>
        <w:t xml:space="preserve">пункта весогабаритного контроля.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«Безопасность дорожного движения»: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851" w:leader="none"/>
          <w:tab w:val="left" w:pos="1134" w:leader="none"/>
          <w:tab w:val="left" w:pos="1276" w:leader="none"/>
        </w:tabs>
        <w:rPr>
          <w:rFonts w:ascii="PT Astra Serif" w:hAnsi="PT Astra Serif" w:eastAsia="PT Astra Serif" w:cs="PT Astra Serif"/>
          <w:b w:val="0"/>
          <w:bCs w:val="0"/>
          <w:i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Проведение областных конкурсов и соревнований среди отрядов ЮИД, обучающие семинары по безопасности дорожного движения, психологические тренинги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 ролевые игры с педагогическими работниками профессиональных образовательных организаций, педагогами образовательных организаций, издание печатной продукции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 пропаганде безопасности дорожного движения </w:t>
        <w:br/>
        <w:t xml:space="preserve">для образовательных организаций (памятки, буклеты, листовки и др.), оснащение образовательных организаций комплектами учебно-игрового оборудования;</w:t>
      </w:r>
      <w:r>
        <w:rPr>
          <w:rFonts w:ascii="PT Astra Serif" w:hAnsi="PT Astra Serif" w:cs="PT Astra Serif"/>
          <w:sz w:val="24"/>
          <w:szCs w:val="24"/>
        </w:rPr>
      </w:r>
      <w:r/>
      <w:r>
        <w:rPr>
          <w:rFonts w:ascii="PT Astra Serif" w:hAnsi="PT Astra Serif" w:eastAsia="PT Astra Serif" w:cs="PT Astra Serif"/>
          <w:b w:val="0"/>
          <w:bCs w:val="0"/>
          <w:i w:val="0"/>
          <w:sz w:val="26"/>
          <w:szCs w:val="26"/>
        </w:rPr>
      </w:r>
    </w:p>
    <w:p>
      <w:pPr>
        <w:ind w:firstLine="709"/>
        <w:jc w:val="both"/>
        <w:spacing w:after="120" w:line="240" w:lineRule="auto"/>
        <w:tabs>
          <w:tab w:val="left" w:pos="851" w:leader="none"/>
          <w:tab w:val="left" w:pos="1134" w:leader="none"/>
          <w:tab w:val="left" w:pos="127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Инженерное обустройство региональных и межмуниципальных дорог (нанесение горизонтальной разметки, установка метеорологических систем </w:t>
        <w:br/>
        <w:t xml:space="preserve">и светофора).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«Развитие общественного транспорта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риобретение 31 единицы транспортных средств (автобусов) в рамках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реализации мероприятий по повышению уровня развития общественного транспорта.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contextualSpacing w:val="0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Семья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ind w:left="0" w:firstLine="709"/>
        <w:jc w:val="both"/>
        <w:spacing w:after="0" w:line="240" w:lineRule="auto"/>
        <w:tabs>
          <w:tab w:val="left" w:pos="567" w:leader="none"/>
          <w:tab w:val="left" w:pos="993" w:leader="none"/>
          <w:tab w:val="left" w:pos="1418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Многодетная семья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Оказание 3 670 семьям мер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социальной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поддержки: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2 392 семьи получат помощь в целях обеспечения подготовки семьи </w:t>
        <w:br/>
        <w:t xml:space="preserve">к рождению ребенка;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130 семей обеспечат бесплатным прохождением подготовительного этапа программы экстракорпорального оплодотворения;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380 студенческих, молодых семей, одиноких матерей, иных категорий нуждающихся семей воспользуются в пунктах проката предметами первой необходимости для новорожденных (коляски, кроватки,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нальные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столики </w:t>
        <w:br/>
        <w:t xml:space="preserve">и др.);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50 студенческих, многодетных семей, иных категорий семей воспользуются услугами по организации кратковременного присмотра и ухода за детьми до 3 лет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организациях социального обслуживания, а также на дому;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280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женщин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обучающихся по очной форме обучени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я,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получат единовременную выплату в размере не менее 100 тыс. рублей при постановке </w:t>
        <w:br/>
        <w:t xml:space="preserve">на учет по беременности;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18 молодых семей с детьми получат компенсацию стоимости найма жилого помещения в размере не менее половины фактических расходов по договору найма;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- 420 получателям будет предоставлена «Единовременная выплата в размере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не менее 300 тыс. рублей при рождении начиная с 01.01.2025 г. третьего </w:t>
        <w:br/>
        <w:t xml:space="preserve">или последу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ющих детей в многодетной семье»;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Заключение 2 089 социальных контрактов с семьями (одиноко проживающими гражданами), имеющими среднедушевой доход ниже величины прожиточного минимума на душу населения, установленной по месту жительства заявителя.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«Поддержка семьи»: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комплексны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мероприяти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по информированию граждан </w:t>
        <w:br/>
        <w:t xml:space="preserve">о мерах социальной поддержки семей и семей с детьми, направ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ленных </w:t>
        <w:br/>
        <w:t xml:space="preserve">на повышение рождаемости;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Проведение капитального ремонта и оснащение детского сада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щеразвивающего вида «Ромашка», расположенному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Тегульдет,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Тегульдетского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р-на.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«Старшее поколение»: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1. 338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граждан старше трудоспособн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ого возраста и инвалиды получат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услуги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рамках системы долговременного ухода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2. 77 442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человек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граждан старшего поколения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планируется вовлечь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региональную программу «Активное долголетие».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284" w:leader="none"/>
          <w:tab w:val="left" w:pos="426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«Семейные ценности и инфраструктура культуры»: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Проведение кап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итального ремонта МБУК «Районный Дом культуры» </w:t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д. Прокоп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Парабельского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Начало работ по капитальному ремонту: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ОГАУК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Томский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областной художественный музей» (завершение работ в 2027 году),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культуры </w:t>
        <w:br/>
        <w:t xml:space="preserve">в с. Ягодное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Асиновского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района (завершение работ в 2027 году), МБУ «Центральная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детская библиотека»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ЗАТО Северск (завершение работ в 2027 году);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Завершение работ по капитальному ремонту ОГАУК «Театр драмы»;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Оснащение техническим оборудованием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5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музеев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в г. Томске </w:t>
        <w:br/>
        <w:t xml:space="preserve">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г.о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Стрежевой, Александровском,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Бакчарском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Парабельском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районах;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Техническое оснащение ОГАУК «Театр Драмы»;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снащение музыкальными инструментами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3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детских школ иску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сств </w:t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г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 Томске,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Каргасокском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Молчановском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районах;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Создание культурно-просветительских центров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на базе учреждений культуры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Переоснащение 8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муниципальных библиотек по модельному стандарту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numPr>
          <w:ilvl w:val="0"/>
          <w:numId w:val="56"/>
        </w:numPr>
        <w:ind w:left="0" w:firstLine="709"/>
        <w:jc w:val="both"/>
        <w:spacing w:after="12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Проведение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II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val="en-US"/>
        </w:rPr>
        <w:t xml:space="preserve">I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Губернаторского фестиваля народного творчества </w:t>
        <w:br/>
        <w:t xml:space="preserve">с вручением премий и фестиваля казачьей культуры «Братина» в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Кривошеинском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районе.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ind w:left="709"/>
        <w:jc w:val="both"/>
        <w:spacing w:after="120"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5"/>
        <w:ind w:left="709"/>
        <w:jc w:val="both"/>
        <w:spacing w:line="24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«Охрана материнства и детства»: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numPr>
          <w:ilvl w:val="0"/>
          <w:numId w:val="57"/>
        </w:numPr>
        <w:ind w:left="0" w:firstLine="709"/>
        <w:jc w:val="both"/>
        <w:spacing w:line="240" w:lineRule="auto"/>
        <w:tabs>
          <w:tab w:val="left" w:pos="0" w:leader="none"/>
          <w:tab w:val="left" w:pos="284" w:leader="none"/>
          <w:tab w:val="left" w:pos="993" w:leader="none"/>
        </w:tabs>
        <w:rPr>
          <w:rFonts w:ascii="PT Astra Serif" w:hAnsi="PT Astra Serif" w:cs="PT Astra Serif"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Оснащение (дооснащение и (или) переоснащение) медицинскими изделиями ОГАУЗ «Областной перинатальный центр имени И.Д. Евтушенко» </w:t>
        <w:br/>
        <w:t xml:space="preserve">в г. Томске;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i/>
          <w:sz w:val="24"/>
          <w:szCs w:val="24"/>
        </w:rPr>
      </w:r>
    </w:p>
    <w:p>
      <w:pPr>
        <w:pStyle w:val="985"/>
        <w:numPr>
          <w:ilvl w:val="0"/>
          <w:numId w:val="57"/>
        </w:numPr>
        <w:ind w:left="0" w:firstLine="709"/>
        <w:jc w:val="both"/>
        <w:spacing w:line="240" w:lineRule="auto"/>
        <w:tabs>
          <w:tab w:val="left" w:pos="0" w:leader="none"/>
          <w:tab w:val="left" w:pos="284" w:leader="none"/>
          <w:tab w:val="left" w:pos="993" w:leader="none"/>
        </w:tabs>
        <w:rPr>
          <w:rFonts w:ascii="PT Astra Serif" w:hAnsi="PT Astra Serif" w:cs="PT Astra Serif"/>
          <w:bCs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Проведение 1 670 циклов ЭКО;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bCs/>
          <w:color w:val="000000" w:themeColor="text1"/>
          <w:sz w:val="24"/>
          <w:szCs w:val="24"/>
        </w:rPr>
      </w:r>
    </w:p>
    <w:p>
      <w:pPr>
        <w:pStyle w:val="985"/>
        <w:numPr>
          <w:ilvl w:val="0"/>
          <w:numId w:val="57"/>
        </w:numPr>
        <w:ind w:left="0" w:firstLine="709"/>
        <w:jc w:val="both"/>
        <w:spacing w:line="240" w:lineRule="auto"/>
        <w:tabs>
          <w:tab w:val="left" w:pos="0" w:leader="none"/>
          <w:tab w:val="left" w:pos="284" w:leader="none"/>
          <w:tab w:val="left" w:pos="99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Оснащение мобильным медицинским оборудованием ОГАУЗ «Областная детская больница» в г. Томске для проведения выездных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мероприятий (профилактических медицинских осмотров, диспансеризации и диспансерного наблюдения детского населения).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«Эффективная и конкурентная экономика»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«Малое и среднее предпринимательство и поддержка индивидуальной предпринимательской инициативы»: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Привлечение субъектами малого и среднего предпринимательства финансирования за счет поручительств (независимых гарантий) фондов содействия кредитованию (гарантийных фондов, фондов поручительств) в размере 1,39 млрд. рублей;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Обеспечение субъектам малого и среднего предпринимательства льготного доступа к заемным средствам государственных (муниципальных)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микрофинансовых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организаций в размере 206,8 млн. рублей;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Оказание субъектам малого и среднего предпринимательства и гражданам, желающим вести бизнес, услуг и мер поддержки организациями инфраструктуры поддержки малого и среднего предпринимательства в количестве 2 837 единиц;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Увеличение до 0,02 млрд. рублей объема внебюджетных инвестиций </w:t>
        <w:br/>
        <w:t xml:space="preserve">в основной капитал субъектов малого и среднего предпринимательства, получивших доступ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 производственным площадям и помещениям индустриальных (промышленных) парков, агропромышленных парков,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бизнес-парков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технопарков, промышленных технопарков;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Обеспечение 4 - м субъектам малого и среднего предпринимательства льготного доступа к производственным площадям и помещениям индустриальных (промышленных) парков, агропромышленных парков,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бизнес-парков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технопарков, промышленных технопарков в целях создания (развития) производственных </w:t>
        <w:br/>
        <w:t xml:space="preserve">и инновационных компаний.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426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Производительность труда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8 предприятий базовых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несырьевых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отраслей экономики планируется вовлечь для реализации проектов по пов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ышению производительности труда;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При поддержке Регионального центра компетенций на 8 предприятиях планируется реализовать проекты по повышению производительности труда по направлению «Бережл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ивое производство» с поддержкой;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Планируются мероприятия, направленные на повышение производительности труда на 5 % и более на 50% томских предприятий, внедряющих меропри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ятия проекта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в течение трех лет;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4. Вовлечь предприятия отрасли социальной сферы в проект «Производительность труда» и начать тиражирование лучших практик.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Технологическое обеспечение продовольственной безопасности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Кадры в агропромышленном комплексе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1. Обучение 9 граждан РФ для сельскохозяйственных товаропроизводителей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  <w:t xml:space="preserve">и организаций, осуществляющих переработку сельскохозяйственной прод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укции,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br/>
        <w:t xml:space="preserve">на сельских территориях;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2. Привлечение к сельскохозяйственным товаропроизводителям </w:t>
        <w:br/>
        <w:t xml:space="preserve">58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обучающихся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для прохождения практики и осуще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ствления трудовой деятельности;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3. Создание двух агротехнологических классов на базе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Кожевниковской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СОШ № 1 и Октябрьской СОШ Томского ра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йона, общей площадью 50,0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кв.м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Международная кооперация и экспорт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Системные меры развития международной кооперации и экспорта в Томской области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1.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Внедрение новой версии Регионал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ьного экспортного стандарта 3.0;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2.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Обеспечение благоприятной институциональной среды для развития внешнеторговой деятельности: совершенствование нормативной базы, повышение качества оказываемых услуг, смягчение инфраструктурных барьеров во внешнеторговой деятельности.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Экспорт продукции агропромышленного комплекса Томской области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з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апланирован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 объем экспорта продукции агропромышленного комплекса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color w:val="000000" w:themeColor="text1"/>
          <w:sz w:val="26"/>
          <w:szCs w:val="26"/>
        </w:rPr>
        <w:t xml:space="preserve">к показателю 2021 года (в номинальных ценах) составит 0,0836 млрд. долл. США.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center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Туризм и гостеприимство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Региональный проек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Создание номерного фонда, инфраструктуры и новых точек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притяжения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»: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ind w:firstLine="709"/>
        <w:jc w:val="both"/>
        <w:spacing w:after="120" w:line="240" w:lineRule="auto"/>
        <w:tabs>
          <w:tab w:val="left" w:pos="99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з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апланирована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реализация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проектов по развитию и обустройству общественной территории туристского центра города.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Национальный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Беспилотные авиационные системы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5"/>
        <w:ind w:left="709"/>
        <w:jc w:val="both"/>
        <w:spacing w:after="0" w:line="240" w:lineRule="auto"/>
        <w:tabs>
          <w:tab w:val="left" w:pos="567" w:leader="none"/>
          <w:tab w:val="left" w:pos="709" w:leader="none"/>
          <w:tab w:val="left" w:pos="993" w:leader="none"/>
          <w:tab w:val="left" w:pos="1418" w:leader="none"/>
        </w:tabs>
        <w:rPr>
          <w:rFonts w:ascii="PT Astra Serif" w:hAnsi="PT Astra Serif" w:cs="PT Astra Serif"/>
          <w:b/>
          <w:i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  <w:lang w:eastAsia="ru-RU"/>
        </w:rPr>
        <w:t xml:space="preserve">Реги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ональный проект 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Разработка, стандартизация и серийное производство БАС 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комплектующих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b/>
          <w:i/>
          <w:sz w:val="24"/>
          <w:szCs w:val="24"/>
        </w:rPr>
      </w:r>
    </w:p>
    <w:p>
      <w:pPr>
        <w:pStyle w:val="985"/>
        <w:numPr>
          <w:ilvl w:val="0"/>
          <w:numId w:val="58"/>
        </w:numPr>
        <w:ind w:left="0" w:firstLine="709"/>
        <w:jc w:val="both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Подача заявки на внесение в реестр российской промышленной продукции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Минпромторга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России двух серийных образцов беспилотных авиационных систем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5"/>
        <w:numPr>
          <w:ilvl w:val="0"/>
          <w:numId w:val="58"/>
        </w:numPr>
        <w:ind w:left="0" w:firstLine="709"/>
        <w:jc w:val="both"/>
        <w:tabs>
          <w:tab w:val="left" w:pos="99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Изготовление 2-х серийных образцов беспилотных авиационных систем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(БАС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Шмель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, БАС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Чиж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»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)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6"/>
          <w:szCs w:val="26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eastAsia="Times New Roman"/>
          <w:b w:val="0"/>
          <w:bCs w:val="0"/>
          <w:highlight w:val="yellow"/>
        </w:rPr>
      </w:pPr>
      <w:r>
        <w:rPr>
          <w:rFonts w:ascii="PT Astra Serif" w:hAnsi="PT Astra Serif" w:eastAsia="Times New Roman"/>
          <w:b w:val="0"/>
          <w:bCs w:val="0"/>
          <w:highlight w:val="yellow"/>
        </w:rPr>
      </w:r>
      <w:r>
        <w:rPr>
          <w:rFonts w:ascii="PT Astra Serif" w:hAnsi="PT Astra Serif" w:eastAsia="Times New Roman"/>
          <w:b w:val="0"/>
          <w:bCs w:val="0"/>
          <w:highlight w:val="yellow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0" w:bottom="1134" w:left="1701" w:header="708" w:footer="708" w:gutter="0"/>
      <w:pgNumType w:start="64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ahoma">
    <w:panose1 w:val="020B0604030504040204"/>
  </w:font>
  <w:font w:name="Calibri">
    <w:panose1 w:val="020F0502020204030204"/>
  </w:font>
  <w:font w:name="PT Astra Serif">
    <w:panose1 w:val="020A0603040505020204"/>
  </w:font>
  <w:font w:name="Arial Narrow">
    <w:panose1 w:val="020B0606020202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05599680"/>
      <w:docPartObj>
        <w:docPartGallery w:val="Page Numbers (Top of Page)"/>
        <w:docPartUnique w:val="true"/>
      </w:docPartObj>
      <w:rPr/>
    </w:sdtPr>
    <w:sdtContent>
      <w:p>
        <w:pPr>
          <w:pStyle w:val="1011"/>
          <w:jc w:val="center"/>
          <w:rPr>
            <w:rFonts w:ascii="PT Astra Serif" w:hAnsi="PT Astra Serif"/>
            <w:sz w:val="24"/>
            <w:szCs w:val="24"/>
          </w:rPr>
        </w:pPr>
        <w:r>
          <w:rPr>
            <w:rFonts w:ascii="PT Astra Serif" w:hAnsi="PT Astra Serif"/>
            <w:sz w:val="24"/>
            <w:szCs w:val="24"/>
          </w:rPr>
          <w:fldChar w:fldCharType="begin"/>
        </w:r>
        <w:r>
          <w:rPr>
            <w:rFonts w:ascii="PT Astra Serif" w:hAnsi="PT Astra Serif"/>
            <w:sz w:val="24"/>
            <w:szCs w:val="24"/>
          </w:rPr>
          <w:instrText xml:space="preserve">PAGE   \* MERGEFORMAT</w:instrText>
        </w:r>
        <w:r>
          <w:rPr>
            <w:rFonts w:ascii="PT Astra Serif" w:hAnsi="PT Astra Serif"/>
            <w:sz w:val="24"/>
            <w:szCs w:val="24"/>
          </w:rPr>
          <w:fldChar w:fldCharType="separate"/>
        </w:r>
        <w:r>
          <w:rPr>
            <w:rFonts w:ascii="PT Astra Serif" w:hAnsi="PT Astra Serif"/>
            <w:sz w:val="24"/>
            <w:szCs w:val="24"/>
          </w:rPr>
          <w:t xml:space="preserve">83</w:t>
        </w:r>
        <w:r>
          <w:rPr>
            <w:rFonts w:ascii="PT Astra Serif" w:hAnsi="PT Astra Serif"/>
            <w:sz w:val="24"/>
            <w:szCs w:val="24"/>
          </w:rPr>
          <w:fldChar w:fldCharType="end"/>
        </w:r>
        <w:r>
          <w:rPr>
            <w:rFonts w:ascii="PT Astra Serif" w:hAnsi="PT Astra Serif"/>
            <w:sz w:val="24"/>
            <w:szCs w:val="24"/>
          </w:rPr>
        </w:r>
        <w:r>
          <w:rPr>
            <w:rFonts w:ascii="PT Astra Serif" w:hAnsi="PT Astra Serif"/>
            <w:sz w:val="24"/>
            <w:szCs w:val="24"/>
          </w:rPr>
        </w:r>
      </w:p>
    </w:sdtContent>
  </w:sdt>
  <w:p>
    <w:pPr>
      <w:pStyle w:val="101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1"/>
      <w:jc w:val="center"/>
      <w:rPr>
        <w:sz w:val="24"/>
        <w:szCs w:val="24"/>
      </w:rPr>
    </w:pPr>
    <w:r>
      <w:rPr>
        <w:sz w:val="24"/>
        <w:szCs w:val="24"/>
      </w:rPr>
      <w:t xml:space="preserve">6</w:t>
    </w:r>
    <w:r>
      <w:rPr>
        <w:sz w:val="24"/>
        <w:szCs w:val="24"/>
      </w:rPr>
      <w:t xml:space="preserve">4</w:t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248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30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2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4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6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8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0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2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42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1287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cs="Times New Roman" w:eastAsiaTheme="minorHAns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cs="Times New Roman" w:eastAsiaTheme="minorHAns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2487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31" w:hanging="138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4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3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9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92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3196" w:hanging="360"/>
      </w:pPr>
      <w:rPr>
        <w:rFonts w:hint="default" w:ascii="Times New Roman" w:hAnsi="Times New Roman" w:eastAsia="Times New Roman" w:cs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391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63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535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607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79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51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823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956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cs="Times New Roman" w:eastAsiaTheme="minorHAns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7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cs="Times New Roman" w:eastAsiaTheme="minorHAns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 w:ascii="Times New Roman" w:hAnsi="Times New Roman" w:cs="Times New Roman" w:eastAsiaTheme="minorHAns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2"/>
      <w:numFmt w:val="bullet"/>
      <w:isLgl w:val="false"/>
      <w:suff w:val="tab"/>
      <w:lvlText w:val="‒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9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64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97" w:hanging="36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56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3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0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7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4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2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9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657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3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5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81" w:hanging="180"/>
      </w:pPr>
    </w:lvl>
  </w:abstractNum>
  <w:abstractNum w:abstractNumId="55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0"/>
  </w:num>
  <w:num w:numId="7">
    <w:abstractNumId w:val="25"/>
  </w:num>
  <w:num w:numId="8">
    <w:abstractNumId w:val="1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"/>
  </w:num>
  <w:num w:numId="14">
    <w:abstractNumId w:val="22"/>
  </w:num>
  <w:num w:numId="15">
    <w:abstractNumId w:val="44"/>
  </w:num>
  <w:num w:numId="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1"/>
  </w:num>
  <w:num w:numId="19">
    <w:abstractNumId w:val="24"/>
  </w:num>
  <w:num w:numId="20">
    <w:abstractNumId w:val="34"/>
  </w:num>
  <w:num w:numId="21">
    <w:abstractNumId w:val="29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9"/>
  </w:num>
  <w:num w:numId="31">
    <w:abstractNumId w:val="0"/>
  </w:num>
  <w:num w:numId="32">
    <w:abstractNumId w:val="35"/>
  </w:num>
  <w:num w:numId="33">
    <w:abstractNumId w:val="4"/>
  </w:num>
  <w:num w:numId="34">
    <w:abstractNumId w:val="14"/>
  </w:num>
  <w:num w:numId="35">
    <w:abstractNumId w:val="36"/>
  </w:num>
  <w:num w:numId="36">
    <w:abstractNumId w:val="5"/>
  </w:num>
  <w:num w:numId="37">
    <w:abstractNumId w:val="3"/>
  </w:num>
  <w:num w:numId="38">
    <w:abstractNumId w:val="18"/>
  </w:num>
  <w:num w:numId="39">
    <w:abstractNumId w:val="40"/>
  </w:num>
  <w:num w:numId="40">
    <w:abstractNumId w:val="28"/>
  </w:num>
  <w:num w:numId="41">
    <w:abstractNumId w:val="20"/>
  </w:num>
  <w:num w:numId="42">
    <w:abstractNumId w:val="7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41"/>
  </w:num>
  <w:num w:numId="46">
    <w:abstractNumId w:val="19"/>
  </w:num>
  <w:num w:numId="47">
    <w:abstractNumId w:val="27"/>
  </w:num>
  <w:num w:numId="48">
    <w:abstractNumId w:val="26"/>
  </w:num>
  <w:num w:numId="49">
    <w:abstractNumId w:val="45"/>
  </w:num>
  <w:num w:numId="50">
    <w:abstractNumId w:val="46"/>
  </w:num>
  <w:num w:numId="51">
    <w:abstractNumId w:val="47"/>
  </w:num>
  <w:num w:numId="52">
    <w:abstractNumId w:val="48"/>
  </w:num>
  <w:num w:numId="53">
    <w:abstractNumId w:val="49"/>
  </w:num>
  <w:num w:numId="54">
    <w:abstractNumId w:val="50"/>
  </w:num>
  <w:num w:numId="55">
    <w:abstractNumId w:val="51"/>
  </w:num>
  <w:num w:numId="56">
    <w:abstractNumId w:val="52"/>
  </w:num>
  <w:num w:numId="57">
    <w:abstractNumId w:val="53"/>
  </w:num>
  <w:num w:numId="58">
    <w:abstractNumId w:val="54"/>
  </w:num>
  <w:num w:numId="59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0">
    <w:name w:val="Heading 1 Char"/>
    <w:basedOn w:val="980"/>
    <w:link w:val="9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11">
    <w:name w:val="Heading 2"/>
    <w:basedOn w:val="978"/>
    <w:next w:val="978"/>
    <w:link w:val="81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12">
    <w:name w:val="Heading 2 Char"/>
    <w:basedOn w:val="980"/>
    <w:link w:val="811"/>
    <w:uiPriority w:val="9"/>
    <w:rPr>
      <w:rFonts w:ascii="Liberation Sans" w:hAnsi="Liberation Sans" w:eastAsia="Liberation Sans" w:cs="Liberation Sans"/>
      <w:sz w:val="34"/>
    </w:rPr>
  </w:style>
  <w:style w:type="paragraph" w:styleId="813">
    <w:name w:val="Heading 3"/>
    <w:basedOn w:val="978"/>
    <w:next w:val="978"/>
    <w:link w:val="81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14">
    <w:name w:val="Heading 3 Char"/>
    <w:basedOn w:val="980"/>
    <w:link w:val="81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15">
    <w:name w:val="Heading 4"/>
    <w:basedOn w:val="978"/>
    <w:next w:val="978"/>
    <w:link w:val="81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16">
    <w:name w:val="Heading 4 Char"/>
    <w:basedOn w:val="980"/>
    <w:link w:val="81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17">
    <w:name w:val="Heading 5"/>
    <w:basedOn w:val="978"/>
    <w:next w:val="978"/>
    <w:link w:val="81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18">
    <w:name w:val="Heading 5 Char"/>
    <w:basedOn w:val="980"/>
    <w:link w:val="81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19">
    <w:name w:val="Heading 6"/>
    <w:basedOn w:val="978"/>
    <w:next w:val="978"/>
    <w:link w:val="82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20">
    <w:name w:val="Heading 6 Char"/>
    <w:basedOn w:val="980"/>
    <w:link w:val="81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21">
    <w:name w:val="Heading 7"/>
    <w:basedOn w:val="978"/>
    <w:next w:val="978"/>
    <w:link w:val="82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22">
    <w:name w:val="Heading 7 Char"/>
    <w:basedOn w:val="980"/>
    <w:link w:val="82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23">
    <w:name w:val="Heading 8"/>
    <w:basedOn w:val="978"/>
    <w:next w:val="978"/>
    <w:link w:val="82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24">
    <w:name w:val="Heading 8 Char"/>
    <w:basedOn w:val="980"/>
    <w:link w:val="82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25">
    <w:name w:val="Heading 9"/>
    <w:basedOn w:val="978"/>
    <w:next w:val="978"/>
    <w:link w:val="82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26">
    <w:name w:val="Heading 9 Char"/>
    <w:basedOn w:val="980"/>
    <w:link w:val="82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27">
    <w:name w:val="Title"/>
    <w:basedOn w:val="978"/>
    <w:next w:val="978"/>
    <w:link w:val="8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8">
    <w:name w:val="Title Char"/>
    <w:basedOn w:val="980"/>
    <w:link w:val="827"/>
    <w:uiPriority w:val="10"/>
    <w:rPr>
      <w:sz w:val="48"/>
      <w:szCs w:val="48"/>
    </w:rPr>
  </w:style>
  <w:style w:type="paragraph" w:styleId="829">
    <w:name w:val="Subtitle"/>
    <w:basedOn w:val="978"/>
    <w:next w:val="978"/>
    <w:link w:val="830"/>
    <w:uiPriority w:val="11"/>
    <w:qFormat/>
    <w:pPr>
      <w:spacing w:before="200" w:after="200"/>
    </w:pPr>
    <w:rPr>
      <w:sz w:val="24"/>
      <w:szCs w:val="24"/>
    </w:rPr>
  </w:style>
  <w:style w:type="character" w:styleId="830">
    <w:name w:val="Subtitle Char"/>
    <w:basedOn w:val="980"/>
    <w:link w:val="829"/>
    <w:uiPriority w:val="11"/>
    <w:rPr>
      <w:sz w:val="24"/>
      <w:szCs w:val="24"/>
    </w:rPr>
  </w:style>
  <w:style w:type="paragraph" w:styleId="831">
    <w:name w:val="Quote"/>
    <w:basedOn w:val="978"/>
    <w:next w:val="978"/>
    <w:link w:val="832"/>
    <w:uiPriority w:val="29"/>
    <w:qFormat/>
    <w:pPr>
      <w:ind w:left="720" w:right="720"/>
    </w:pPr>
    <w:rPr>
      <w:i/>
    </w:rPr>
  </w:style>
  <w:style w:type="character" w:styleId="832">
    <w:name w:val="Quote Char"/>
    <w:link w:val="831"/>
    <w:uiPriority w:val="29"/>
    <w:rPr>
      <w:i/>
    </w:rPr>
  </w:style>
  <w:style w:type="paragraph" w:styleId="833">
    <w:name w:val="Intense Quote"/>
    <w:basedOn w:val="978"/>
    <w:next w:val="978"/>
    <w:link w:val="83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4">
    <w:name w:val="Intense Quote Char"/>
    <w:link w:val="833"/>
    <w:uiPriority w:val="30"/>
    <w:rPr>
      <w:i/>
    </w:rPr>
  </w:style>
  <w:style w:type="character" w:styleId="835">
    <w:name w:val="Header Char"/>
    <w:basedOn w:val="980"/>
    <w:link w:val="1011"/>
    <w:uiPriority w:val="99"/>
  </w:style>
  <w:style w:type="character" w:styleId="836">
    <w:name w:val="Footer Char"/>
    <w:basedOn w:val="980"/>
    <w:link w:val="1013"/>
    <w:uiPriority w:val="99"/>
  </w:style>
  <w:style w:type="paragraph" w:styleId="837">
    <w:name w:val="Caption"/>
    <w:basedOn w:val="978"/>
    <w:next w:val="978"/>
    <w:link w:val="8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8">
    <w:name w:val="Caption Char"/>
    <w:basedOn w:val="980"/>
    <w:link w:val="837"/>
    <w:uiPriority w:val="35"/>
    <w:rPr>
      <w:b/>
      <w:bCs/>
      <w:color w:val="4f81bd" w:themeColor="accent1"/>
      <w:sz w:val="18"/>
      <w:szCs w:val="18"/>
    </w:rPr>
  </w:style>
  <w:style w:type="table" w:styleId="839">
    <w:name w:val="Table Grid"/>
    <w:basedOn w:val="98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0">
    <w:name w:val="Table Grid Light"/>
    <w:basedOn w:val="9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1">
    <w:name w:val="Plain Table 1"/>
    <w:basedOn w:val="9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42">
    <w:name w:val="Plain Table 2"/>
    <w:basedOn w:val="9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43">
    <w:name w:val="Plain Table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4">
    <w:name w:val="Plain Table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Plain Table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6">
    <w:name w:val="Grid Table 1 Light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1 Light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1 Light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1 Light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Grid Table 1 Light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Grid Table 1 Light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Grid Table 1 Light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Grid Table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2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2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2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2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2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3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3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3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4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8">
    <w:name w:val="Grid Table 4 - Accent 1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9">
    <w:name w:val="Grid Table 4 - Accent 2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0">
    <w:name w:val="Grid Table 4 - Accent 3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1">
    <w:name w:val="Grid Table 4 - Accent 4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72">
    <w:name w:val="Grid Table 4 - Accent 5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3">
    <w:name w:val="Grid Table 4 - Accent 6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4">
    <w:name w:val="Grid Table 5 Dark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5">
    <w:name w:val="Grid Table 5 Dark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6">
    <w:name w:val="Grid Table 5 Dark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7">
    <w:name w:val="Grid Table 5 Dark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8">
    <w:name w:val="Grid Table 5 Dark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9">
    <w:name w:val="Grid Table 5 Dark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0">
    <w:name w:val="Grid Table 5 Dark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1">
    <w:name w:val="Grid Table 6 Colorful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82">
    <w:name w:val="Grid Table 6 Colorful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83">
    <w:name w:val="Grid Table 6 Colorful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84">
    <w:name w:val="Grid Table 6 Colorful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85">
    <w:name w:val="Grid Table 6 Colorful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86">
    <w:name w:val="Grid Table 6 Colorful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87">
    <w:name w:val="Grid Table 6 Colorful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88">
    <w:name w:val="Grid Table 7 Colorful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7 Colorful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7 Colorful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7 Colorful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7 Colorful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7 Colorful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1 Light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List Table 1 Light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1 Light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List Table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3">
    <w:name w:val="List Table 2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4">
    <w:name w:val="List Table 2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5">
    <w:name w:val="List Table 2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6">
    <w:name w:val="List Table 2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7">
    <w:name w:val="List Table 2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8">
    <w:name w:val="List Table 2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9">
    <w:name w:val="List Table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3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3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3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3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3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3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4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4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4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4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5 Dark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24">
    <w:name w:val="List Table 5 Dark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25">
    <w:name w:val="List Table 5 Dark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26">
    <w:name w:val="List Table 5 Dark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27">
    <w:name w:val="List Table 5 Dark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28">
    <w:name w:val="List Table 5 Dark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29">
    <w:name w:val="List Table 5 Dark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30">
    <w:name w:val="List Table 6 Colorful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1">
    <w:name w:val="List Table 6 Colorful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2">
    <w:name w:val="List Table 6 Colorful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3">
    <w:name w:val="List Table 6 Colorful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4">
    <w:name w:val="List Table 6 Colorful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5">
    <w:name w:val="List Table 6 Colorful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6">
    <w:name w:val="List Table 6 Colorful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7">
    <w:name w:val="List Table 7 Colorful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38">
    <w:name w:val="List Table 7 Colorful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39">
    <w:name w:val="List Table 7 Colorful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40">
    <w:name w:val="List Table 7 Colorful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41">
    <w:name w:val="List Table 7 Colorful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42">
    <w:name w:val="List Table 7 Colorful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43">
    <w:name w:val="List Table 7 Colorful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44">
    <w:name w:val="Lined - Accent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5">
    <w:name w:val="Lined - Accent 1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6">
    <w:name w:val="Lined - Accent 2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7">
    <w:name w:val="Lined - Accent 3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8">
    <w:name w:val="Lined - Accent 4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9">
    <w:name w:val="Lined - Accent 5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0">
    <w:name w:val="Lined - Accent 6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1">
    <w:name w:val="Bordered &amp; Lined - Accent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2">
    <w:name w:val="Bordered &amp; Lined - Accent 1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3">
    <w:name w:val="Bordered &amp; Lined - Accent 2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4">
    <w:name w:val="Bordered &amp; Lined - Accent 3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5">
    <w:name w:val="Bordered &amp; Lined - Accent 4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6">
    <w:name w:val="Bordered &amp; Lined - Accent 5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7">
    <w:name w:val="Bordered &amp; Lined - Accent 6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8">
    <w:name w:val="Bordered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9">
    <w:name w:val="Bordered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0">
    <w:name w:val="Bordered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1">
    <w:name w:val="Bordered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62">
    <w:name w:val="Bordered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3">
    <w:name w:val="Bordered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4">
    <w:name w:val="Bordered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5">
    <w:name w:val="Footnote Text Char"/>
    <w:link w:val="1000"/>
    <w:uiPriority w:val="99"/>
    <w:rPr>
      <w:sz w:val="18"/>
    </w:rPr>
  </w:style>
  <w:style w:type="paragraph" w:styleId="966">
    <w:name w:val="endnote text"/>
    <w:basedOn w:val="978"/>
    <w:link w:val="967"/>
    <w:uiPriority w:val="99"/>
    <w:semiHidden/>
    <w:unhideWhenUsed/>
    <w:pPr>
      <w:spacing w:after="0" w:line="240" w:lineRule="auto"/>
    </w:pPr>
    <w:rPr>
      <w:sz w:val="20"/>
    </w:rPr>
  </w:style>
  <w:style w:type="character" w:styleId="967">
    <w:name w:val="Endnote Text Char"/>
    <w:link w:val="966"/>
    <w:uiPriority w:val="99"/>
    <w:rPr>
      <w:sz w:val="20"/>
    </w:rPr>
  </w:style>
  <w:style w:type="character" w:styleId="968">
    <w:name w:val="endnote reference"/>
    <w:basedOn w:val="980"/>
    <w:uiPriority w:val="99"/>
    <w:semiHidden/>
    <w:unhideWhenUsed/>
    <w:rPr>
      <w:vertAlign w:val="superscript"/>
    </w:rPr>
  </w:style>
  <w:style w:type="paragraph" w:styleId="969">
    <w:name w:val="toc 2"/>
    <w:basedOn w:val="978"/>
    <w:next w:val="978"/>
    <w:uiPriority w:val="39"/>
    <w:unhideWhenUsed/>
    <w:pPr>
      <w:ind w:left="283" w:right="0" w:firstLine="0"/>
      <w:spacing w:after="57"/>
    </w:pPr>
  </w:style>
  <w:style w:type="paragraph" w:styleId="970">
    <w:name w:val="toc 3"/>
    <w:basedOn w:val="978"/>
    <w:next w:val="978"/>
    <w:uiPriority w:val="39"/>
    <w:unhideWhenUsed/>
    <w:pPr>
      <w:ind w:left="567" w:right="0" w:firstLine="0"/>
      <w:spacing w:after="57"/>
    </w:pPr>
  </w:style>
  <w:style w:type="paragraph" w:styleId="971">
    <w:name w:val="toc 4"/>
    <w:basedOn w:val="978"/>
    <w:next w:val="978"/>
    <w:uiPriority w:val="39"/>
    <w:unhideWhenUsed/>
    <w:pPr>
      <w:ind w:left="850" w:right="0" w:firstLine="0"/>
      <w:spacing w:after="57"/>
    </w:pPr>
  </w:style>
  <w:style w:type="paragraph" w:styleId="972">
    <w:name w:val="toc 5"/>
    <w:basedOn w:val="978"/>
    <w:next w:val="978"/>
    <w:uiPriority w:val="39"/>
    <w:unhideWhenUsed/>
    <w:pPr>
      <w:ind w:left="1134" w:right="0" w:firstLine="0"/>
      <w:spacing w:after="57"/>
    </w:pPr>
  </w:style>
  <w:style w:type="paragraph" w:styleId="973">
    <w:name w:val="toc 6"/>
    <w:basedOn w:val="978"/>
    <w:next w:val="978"/>
    <w:uiPriority w:val="39"/>
    <w:unhideWhenUsed/>
    <w:pPr>
      <w:ind w:left="1417" w:right="0" w:firstLine="0"/>
      <w:spacing w:after="57"/>
    </w:pPr>
  </w:style>
  <w:style w:type="paragraph" w:styleId="974">
    <w:name w:val="toc 7"/>
    <w:basedOn w:val="978"/>
    <w:next w:val="978"/>
    <w:uiPriority w:val="39"/>
    <w:unhideWhenUsed/>
    <w:pPr>
      <w:ind w:left="1701" w:right="0" w:firstLine="0"/>
      <w:spacing w:after="57"/>
    </w:pPr>
  </w:style>
  <w:style w:type="paragraph" w:styleId="975">
    <w:name w:val="toc 8"/>
    <w:basedOn w:val="978"/>
    <w:next w:val="978"/>
    <w:uiPriority w:val="39"/>
    <w:unhideWhenUsed/>
    <w:pPr>
      <w:ind w:left="1984" w:right="0" w:firstLine="0"/>
      <w:spacing w:after="57"/>
    </w:pPr>
  </w:style>
  <w:style w:type="paragraph" w:styleId="976">
    <w:name w:val="toc 9"/>
    <w:basedOn w:val="978"/>
    <w:next w:val="978"/>
    <w:uiPriority w:val="39"/>
    <w:unhideWhenUsed/>
    <w:pPr>
      <w:ind w:left="2268" w:right="0" w:firstLine="0"/>
      <w:spacing w:after="57"/>
    </w:pPr>
  </w:style>
  <w:style w:type="paragraph" w:styleId="977">
    <w:name w:val="table of figures"/>
    <w:basedOn w:val="978"/>
    <w:next w:val="978"/>
    <w:uiPriority w:val="99"/>
    <w:unhideWhenUsed/>
    <w:pPr>
      <w:spacing w:after="0" w:afterAutospacing="0"/>
    </w:pPr>
  </w:style>
  <w:style w:type="paragraph" w:styleId="978" w:default="1">
    <w:name w:val="Normal"/>
    <w:qFormat/>
    <w:rPr>
      <w:rFonts w:ascii="Times New Roman" w:hAnsi="Times New Roman" w:cs="Times New Roman"/>
      <w:sz w:val="26"/>
      <w:szCs w:val="26"/>
    </w:rPr>
  </w:style>
  <w:style w:type="paragraph" w:styleId="979">
    <w:name w:val="Heading 1"/>
    <w:basedOn w:val="978"/>
    <w:next w:val="978"/>
    <w:link w:val="1004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80" w:default="1">
    <w:name w:val="Default Paragraph Font"/>
    <w:uiPriority w:val="1"/>
    <w:semiHidden/>
    <w:unhideWhenUsed/>
  </w:style>
  <w:style w:type="table" w:styleId="9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2" w:default="1">
    <w:name w:val="No List"/>
    <w:uiPriority w:val="99"/>
    <w:semiHidden/>
    <w:unhideWhenUsed/>
  </w:style>
  <w:style w:type="paragraph" w:styleId="98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984" w:customStyle="1">
    <w:name w:val="Исполнитель"/>
    <w:basedOn w:val="978"/>
    <w:qFormat/>
    <w:pPr>
      <w:ind w:left="-709" w:firstLine="709"/>
      <w:jc w:val="both"/>
      <w:spacing w:after="0" w:line="240" w:lineRule="auto"/>
      <w:tabs>
        <w:tab w:val="left" w:pos="993" w:leader="none"/>
      </w:tabs>
    </w:pPr>
    <w:rPr>
      <w:rFonts w:ascii="PT Astra Serif" w:hAnsi="PT Astra Serif"/>
      <w:lang w:eastAsia="ru-RU"/>
    </w:rPr>
  </w:style>
  <w:style w:type="paragraph" w:styleId="985">
    <w:name w:val="List Paragraph"/>
    <w:basedOn w:val="978"/>
    <w:link w:val="986"/>
    <w:uiPriority w:val="34"/>
    <w:qFormat/>
    <w:pPr>
      <w:contextualSpacing/>
      <w:ind w:left="720"/>
    </w:pPr>
    <w:rPr>
      <w:rFonts w:ascii="Calibri" w:hAnsi="Calibri" w:eastAsia="Calibri"/>
      <w:sz w:val="22"/>
      <w:szCs w:val="22"/>
    </w:rPr>
  </w:style>
  <w:style w:type="character" w:styleId="986" w:customStyle="1">
    <w:name w:val="Абзац списка Знак"/>
    <w:link w:val="985"/>
    <w:uiPriority w:val="34"/>
    <w:rPr>
      <w:rFonts w:ascii="Calibri" w:hAnsi="Calibri" w:eastAsia="Calibri" w:cs="Times New Roman"/>
    </w:rPr>
  </w:style>
  <w:style w:type="character" w:styleId="987" w:customStyle="1">
    <w:name w:val="Основной текст (2)_"/>
    <w:basedOn w:val="980"/>
    <w:link w:val="988"/>
    <w:rPr>
      <w:rFonts w:ascii="Arial Narrow" w:hAnsi="Arial Narrow" w:eastAsia="Arial Narrow" w:cs="Arial Narrow"/>
      <w:shd w:val="clear" w:color="auto" w:fill="ffffff"/>
    </w:rPr>
  </w:style>
  <w:style w:type="paragraph" w:styleId="988" w:customStyle="1">
    <w:name w:val="Основной текст (2)"/>
    <w:basedOn w:val="978"/>
    <w:link w:val="987"/>
    <w:pPr>
      <w:jc w:val="both"/>
      <w:spacing w:after="240" w:line="266" w:lineRule="exact"/>
      <w:shd w:val="clear" w:color="auto" w:fill="ffffff"/>
      <w:widowControl w:val="off"/>
    </w:pPr>
    <w:rPr>
      <w:rFonts w:ascii="Arial Narrow" w:hAnsi="Arial Narrow" w:eastAsia="Arial Narrow" w:cs="Arial Narrow"/>
      <w:sz w:val="22"/>
      <w:szCs w:val="22"/>
    </w:rPr>
  </w:style>
  <w:style w:type="paragraph" w:styleId="989">
    <w:name w:val="Normal (Web)"/>
    <w:basedOn w:val="978"/>
    <w:link w:val="990"/>
    <w:uiPriority w:val="99"/>
    <w:qFormat/>
    <w:pPr>
      <w:jc w:val="both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990" w:customStyle="1">
    <w:name w:val="Обычный (веб) Знак"/>
    <w:link w:val="989"/>
    <w:uiPriority w:val="99"/>
    <w:rPr>
      <w:rFonts w:ascii="Times New Roman" w:hAnsi="Times New Roman" w:eastAsia="Times New Roman" w:cs="Times New Roman"/>
      <w:sz w:val="24"/>
      <w:szCs w:val="24"/>
    </w:rPr>
  </w:style>
  <w:style w:type="character" w:styleId="991">
    <w:name w:val="annotation reference"/>
    <w:basedOn w:val="980"/>
    <w:uiPriority w:val="99"/>
    <w:semiHidden/>
    <w:unhideWhenUsed/>
    <w:rPr>
      <w:sz w:val="16"/>
      <w:szCs w:val="16"/>
    </w:rPr>
  </w:style>
  <w:style w:type="paragraph" w:styleId="992">
    <w:name w:val="annotation text"/>
    <w:basedOn w:val="978"/>
    <w:link w:val="99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93" w:customStyle="1">
    <w:name w:val="Текст примечания Знак"/>
    <w:basedOn w:val="980"/>
    <w:link w:val="992"/>
    <w:uiPriority w:val="99"/>
    <w:semiHidden/>
    <w:rPr>
      <w:rFonts w:ascii="Times New Roman" w:hAnsi="Times New Roman" w:cs="Times New Roman"/>
      <w:sz w:val="20"/>
      <w:szCs w:val="20"/>
    </w:rPr>
  </w:style>
  <w:style w:type="paragraph" w:styleId="994">
    <w:name w:val="annotation subject"/>
    <w:basedOn w:val="992"/>
    <w:next w:val="992"/>
    <w:link w:val="995"/>
    <w:uiPriority w:val="99"/>
    <w:semiHidden/>
    <w:unhideWhenUsed/>
    <w:rPr>
      <w:b/>
      <w:bCs/>
    </w:rPr>
  </w:style>
  <w:style w:type="character" w:styleId="995" w:customStyle="1">
    <w:name w:val="Тема примечания Знак"/>
    <w:basedOn w:val="993"/>
    <w:link w:val="994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paragraph" w:styleId="996">
    <w:name w:val="Balloon Text"/>
    <w:basedOn w:val="978"/>
    <w:link w:val="99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97" w:customStyle="1">
    <w:name w:val="Текст выноски Знак"/>
    <w:basedOn w:val="980"/>
    <w:link w:val="996"/>
    <w:uiPriority w:val="99"/>
    <w:semiHidden/>
    <w:rPr>
      <w:rFonts w:ascii="Tahoma" w:hAnsi="Tahoma" w:cs="Tahoma"/>
      <w:sz w:val="16"/>
      <w:szCs w:val="16"/>
    </w:rPr>
  </w:style>
  <w:style w:type="paragraph" w:styleId="998" w:customStyle="1">
    <w:name w:val="Стиль1"/>
    <w:basedOn w:val="978"/>
    <w:link w:val="999"/>
    <w:qFormat/>
    <w:pPr>
      <w:ind w:firstLine="567"/>
      <w:jc w:val="both"/>
      <w:spacing w:after="0" w:line="240" w:lineRule="auto"/>
    </w:pPr>
    <w:rPr>
      <w:rFonts w:eastAsia="Times New Roman"/>
    </w:rPr>
  </w:style>
  <w:style w:type="character" w:styleId="999" w:customStyle="1">
    <w:name w:val="Стиль1 Знак"/>
    <w:basedOn w:val="980"/>
    <w:link w:val="998"/>
    <w:rPr>
      <w:rFonts w:ascii="Times New Roman" w:hAnsi="Times New Roman" w:eastAsia="Times New Roman" w:cs="Times New Roman"/>
      <w:sz w:val="26"/>
      <w:szCs w:val="26"/>
    </w:rPr>
  </w:style>
  <w:style w:type="paragraph" w:styleId="1000">
    <w:name w:val="footnote text"/>
    <w:basedOn w:val="978"/>
    <w:link w:val="1001"/>
    <w:uiPriority w:val="99"/>
    <w:unhideWhenUsed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styleId="1001" w:customStyle="1">
    <w:name w:val="Текст сноски Знак"/>
    <w:basedOn w:val="980"/>
    <w:link w:val="1000"/>
    <w:uiPriority w:val="99"/>
    <w:rPr>
      <w:sz w:val="20"/>
      <w:szCs w:val="20"/>
    </w:rPr>
  </w:style>
  <w:style w:type="character" w:styleId="1002">
    <w:name w:val="footnote reference"/>
    <w:basedOn w:val="980"/>
    <w:uiPriority w:val="99"/>
    <w:semiHidden/>
    <w:unhideWhenUsed/>
    <w:rPr>
      <w:vertAlign w:val="superscript"/>
    </w:rPr>
  </w:style>
  <w:style w:type="paragraph" w:styleId="1003" w:customStyle="1">
    <w:name w:val="a0"/>
    <w:basedOn w:val="978"/>
    <w:uiPriority w:val="99"/>
    <w:semiHidden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styleId="1004" w:customStyle="1">
    <w:name w:val="Заголовок 1 Знак"/>
    <w:basedOn w:val="980"/>
    <w:link w:val="97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1005">
    <w:name w:val="TOC Heading"/>
    <w:basedOn w:val="979"/>
    <w:next w:val="978"/>
    <w:uiPriority w:val="39"/>
    <w:unhideWhenUsed/>
    <w:pPr>
      <w:outlineLvl w:val="9"/>
    </w:pPr>
    <w:rPr>
      <w:lang w:eastAsia="ru-RU"/>
    </w:rPr>
  </w:style>
  <w:style w:type="paragraph" w:styleId="1006">
    <w:name w:val="toc 1"/>
    <w:basedOn w:val="978"/>
    <w:next w:val="978"/>
    <w:uiPriority w:val="39"/>
    <w:unhideWhenUsed/>
    <w:pPr>
      <w:spacing w:after="100"/>
    </w:pPr>
  </w:style>
  <w:style w:type="character" w:styleId="1007">
    <w:name w:val="Hyperlink"/>
    <w:basedOn w:val="980"/>
    <w:uiPriority w:val="99"/>
    <w:unhideWhenUsed/>
    <w:rPr>
      <w:color w:val="0000ff" w:themeColor="hyperlink"/>
      <w:u w:val="single"/>
    </w:rPr>
  </w:style>
  <w:style w:type="paragraph" w:styleId="1008">
    <w:name w:val="No Spacing"/>
    <w:uiPriority w:val="1"/>
    <w:qFormat/>
    <w:pPr>
      <w:spacing w:after="0" w:line="240" w:lineRule="auto"/>
    </w:pPr>
  </w:style>
  <w:style w:type="paragraph" w:styleId="1009" w:customStyle="1">
    <w:name w:val="ConsPlusNormal"/>
    <w:link w:val="1010"/>
    <w:qFormat/>
    <w:pPr>
      <w:ind w:firstLine="720"/>
      <w:spacing w:after="0" w:line="240" w:lineRule="auto"/>
      <w:widowControl w:val="off"/>
    </w:pPr>
    <w:rPr>
      <w:rFonts w:ascii="Times New Roman" w:hAnsi="Times New Roman" w:eastAsia="Times New Roman" w:cs="Times New Roman"/>
      <w:lang w:eastAsia="ru-RU"/>
    </w:rPr>
  </w:style>
  <w:style w:type="character" w:styleId="1010" w:customStyle="1">
    <w:name w:val="ConsPlusNormal Знак"/>
    <w:link w:val="1009"/>
    <w:rPr>
      <w:rFonts w:ascii="Times New Roman" w:hAnsi="Times New Roman" w:eastAsia="Times New Roman" w:cs="Times New Roman"/>
      <w:lang w:eastAsia="ru-RU"/>
    </w:rPr>
  </w:style>
  <w:style w:type="paragraph" w:styleId="1011">
    <w:name w:val="Header"/>
    <w:basedOn w:val="978"/>
    <w:link w:val="101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12" w:customStyle="1">
    <w:name w:val="Верхний колонтитул Знак"/>
    <w:basedOn w:val="980"/>
    <w:link w:val="1011"/>
    <w:uiPriority w:val="99"/>
    <w:rPr>
      <w:rFonts w:ascii="Times New Roman" w:hAnsi="Times New Roman" w:cs="Times New Roman"/>
      <w:sz w:val="26"/>
      <w:szCs w:val="26"/>
    </w:rPr>
  </w:style>
  <w:style w:type="paragraph" w:styleId="1013">
    <w:name w:val="Footer"/>
    <w:basedOn w:val="978"/>
    <w:link w:val="101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14" w:customStyle="1">
    <w:name w:val="Нижний колонтитул Знак"/>
    <w:basedOn w:val="980"/>
    <w:link w:val="1013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3928A-970B-4F7B-9C56-F28A78E2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Евгеньевна Федичкина</dc:creator>
  <cp:lastModifiedBy>andreevava@ato.gov70.ru</cp:lastModifiedBy>
  <cp:revision>5</cp:revision>
  <dcterms:created xsi:type="dcterms:W3CDTF">2025-10-03T04:00:00Z</dcterms:created>
  <dcterms:modified xsi:type="dcterms:W3CDTF">2026-08-13T06:30:17Z</dcterms:modified>
</cp:coreProperties>
</file>